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4F" w:rsidRDefault="00EF614F" w:rsidP="00367004">
      <w:pPr>
        <w:jc w:val="center"/>
        <w:rPr>
          <w:b/>
          <w:szCs w:val="28"/>
        </w:rPr>
      </w:pPr>
      <w:bookmarkStart w:id="0" w:name="_GoBack"/>
      <w:bookmarkEnd w:id="0"/>
    </w:p>
    <w:p w:rsidR="00EF614F" w:rsidRDefault="00EF614F" w:rsidP="00367004">
      <w:pPr>
        <w:jc w:val="center"/>
        <w:rPr>
          <w:b/>
          <w:szCs w:val="28"/>
        </w:rPr>
      </w:pPr>
    </w:p>
    <w:p w:rsidR="00EF614F" w:rsidRDefault="00EF614F" w:rsidP="00367004">
      <w:pPr>
        <w:jc w:val="center"/>
        <w:rPr>
          <w:b/>
          <w:szCs w:val="28"/>
        </w:rPr>
      </w:pPr>
    </w:p>
    <w:p w:rsidR="00367004" w:rsidRDefault="00367004" w:rsidP="00192221">
      <w:pPr>
        <w:jc w:val="center"/>
        <w:rPr>
          <w:b/>
          <w:szCs w:val="28"/>
        </w:rPr>
      </w:pPr>
      <w:r w:rsidRPr="00B02780">
        <w:rPr>
          <w:b/>
          <w:szCs w:val="28"/>
        </w:rPr>
        <w:t>WHAT INFLUENCES THE SUCCESS</w:t>
      </w:r>
    </w:p>
    <w:p w:rsidR="00B02780" w:rsidRPr="00B02780" w:rsidRDefault="00B02780" w:rsidP="00192221">
      <w:pPr>
        <w:jc w:val="center"/>
        <w:rPr>
          <w:b/>
          <w:szCs w:val="28"/>
        </w:rPr>
      </w:pPr>
    </w:p>
    <w:p w:rsidR="00367004" w:rsidRPr="00B02780" w:rsidRDefault="00367004" w:rsidP="00192221">
      <w:pPr>
        <w:spacing w:after="240"/>
        <w:jc w:val="center"/>
        <w:rPr>
          <w:b/>
          <w:szCs w:val="28"/>
        </w:rPr>
      </w:pPr>
      <w:r w:rsidRPr="00B02780">
        <w:rPr>
          <w:b/>
          <w:szCs w:val="28"/>
        </w:rPr>
        <w:t>OF AQUACULTURAL RESEARCH PROJECTS?</w:t>
      </w:r>
    </w:p>
    <w:p w:rsidR="00367004" w:rsidRDefault="00367004" w:rsidP="00367004"/>
    <w:p w:rsidR="0007498B" w:rsidRPr="00B02780" w:rsidRDefault="0007498B" w:rsidP="00367004"/>
    <w:p w:rsidR="00EF614F" w:rsidRDefault="00EF614F" w:rsidP="00B02780">
      <w:pPr>
        <w:ind w:left="2160" w:firstLine="720"/>
        <w:rPr>
          <w:rFonts w:cs="Arial"/>
          <w:b/>
          <w:szCs w:val="20"/>
        </w:rPr>
      </w:pPr>
    </w:p>
    <w:p w:rsidR="00367004" w:rsidRPr="00B02780" w:rsidRDefault="00367004" w:rsidP="00192221">
      <w:pPr>
        <w:jc w:val="center"/>
        <w:rPr>
          <w:rFonts w:cs="Arial"/>
          <w:b/>
          <w:szCs w:val="20"/>
        </w:rPr>
      </w:pPr>
      <w:r w:rsidRPr="00B02780">
        <w:rPr>
          <w:rFonts w:cs="Arial"/>
          <w:b/>
          <w:szCs w:val="20"/>
        </w:rPr>
        <w:t>Steven Buccola</w:t>
      </w:r>
      <w:r w:rsidR="00457C43">
        <w:rPr>
          <w:rFonts w:cs="Arial"/>
          <w:b/>
          <w:szCs w:val="20"/>
        </w:rPr>
        <w:t xml:space="preserve">, </w:t>
      </w:r>
      <w:r w:rsidRPr="00B02780">
        <w:rPr>
          <w:rFonts w:cs="Arial"/>
          <w:b/>
          <w:szCs w:val="20"/>
        </w:rPr>
        <w:t>Lin Qin</w:t>
      </w:r>
      <w:r w:rsidR="00457C43">
        <w:rPr>
          <w:rFonts w:cs="Arial"/>
          <w:b/>
          <w:szCs w:val="20"/>
        </w:rPr>
        <w:t>, and Rolf Fare</w:t>
      </w:r>
    </w:p>
    <w:p w:rsidR="00367004" w:rsidRPr="00B02780" w:rsidRDefault="00367004" w:rsidP="00367004">
      <w:pPr>
        <w:spacing w:after="120"/>
        <w:rPr>
          <w:rFonts w:cs="Arial"/>
          <w:szCs w:val="20"/>
        </w:rPr>
      </w:pPr>
      <w:r w:rsidRPr="00B02780">
        <w:rPr>
          <w:rFonts w:cs="Arial"/>
          <w:szCs w:val="20"/>
        </w:rPr>
        <w:tab/>
      </w:r>
      <w:r w:rsidRPr="00B02780">
        <w:rPr>
          <w:rFonts w:cs="Arial"/>
          <w:szCs w:val="20"/>
        </w:rPr>
        <w:tab/>
      </w:r>
      <w:r w:rsidRPr="00B02780">
        <w:rPr>
          <w:rFonts w:cs="Arial"/>
          <w:szCs w:val="20"/>
        </w:rPr>
        <w:tab/>
      </w:r>
      <w:r w:rsidRPr="00B02780">
        <w:rPr>
          <w:rFonts w:cs="Arial"/>
          <w:szCs w:val="20"/>
        </w:rPr>
        <w:tab/>
      </w:r>
    </w:p>
    <w:p w:rsidR="00B02780" w:rsidRPr="00B02780" w:rsidRDefault="00B02780" w:rsidP="00B02780">
      <w:pPr>
        <w:rPr>
          <w:rFonts w:cs="Arial"/>
          <w:szCs w:val="20"/>
        </w:rPr>
      </w:pPr>
    </w:p>
    <w:p w:rsidR="0007498B" w:rsidRDefault="0007498B" w:rsidP="00367004">
      <w:pPr>
        <w:rPr>
          <w:rFonts w:cs="Arial"/>
          <w:szCs w:val="20"/>
        </w:rPr>
      </w:pPr>
    </w:p>
    <w:p w:rsidR="009406CB" w:rsidRPr="009406CB" w:rsidRDefault="00803636" w:rsidP="00803636">
      <w:pPr>
        <w:jc w:val="center"/>
        <w:rPr>
          <w:rFonts w:cs="Times New Roman"/>
          <w:szCs w:val="24"/>
        </w:rPr>
      </w:pPr>
      <w:r w:rsidRPr="009406CB">
        <w:rPr>
          <w:rFonts w:cs="Arial"/>
          <w:szCs w:val="20"/>
        </w:rPr>
        <w:t>Paper delivered at</w:t>
      </w:r>
      <w:r w:rsidRPr="009406CB">
        <w:rPr>
          <w:rFonts w:cs="Times New Roman"/>
          <w:szCs w:val="24"/>
        </w:rPr>
        <w:t xml:space="preserve"> the </w:t>
      </w:r>
    </w:p>
    <w:p w:rsidR="009406CB" w:rsidRPr="009406CB" w:rsidRDefault="009406CB" w:rsidP="00803636">
      <w:pPr>
        <w:jc w:val="center"/>
        <w:rPr>
          <w:rFonts w:cs="Times New Roman"/>
          <w:szCs w:val="24"/>
        </w:rPr>
      </w:pPr>
    </w:p>
    <w:p w:rsidR="00795A56" w:rsidRPr="00192221" w:rsidRDefault="00795A56" w:rsidP="00803636">
      <w:pPr>
        <w:jc w:val="center"/>
        <w:rPr>
          <w:rFonts w:cs="Times New Roman"/>
          <w:i/>
          <w:color w:val="000000"/>
          <w:szCs w:val="24"/>
        </w:rPr>
      </w:pPr>
      <w:r w:rsidRPr="00192221">
        <w:rPr>
          <w:rFonts w:cs="Times New Roman"/>
          <w:i/>
          <w:color w:val="000000"/>
          <w:szCs w:val="24"/>
        </w:rPr>
        <w:t>9th Asian Fisheries &amp; Aquaculture Forum</w:t>
      </w:r>
    </w:p>
    <w:p w:rsidR="009406CB" w:rsidRPr="009406CB" w:rsidRDefault="009406CB" w:rsidP="00803636">
      <w:pPr>
        <w:jc w:val="center"/>
        <w:rPr>
          <w:rFonts w:cs="Times New Roman"/>
          <w:color w:val="000000"/>
          <w:szCs w:val="24"/>
        </w:rPr>
      </w:pPr>
    </w:p>
    <w:p w:rsidR="009406CB" w:rsidRPr="009406CB" w:rsidRDefault="009406CB" w:rsidP="00803636">
      <w:pPr>
        <w:jc w:val="center"/>
        <w:rPr>
          <w:rFonts w:cs="Times New Roman"/>
          <w:color w:val="000000"/>
          <w:szCs w:val="24"/>
        </w:rPr>
      </w:pPr>
      <w:r w:rsidRPr="009406CB">
        <w:rPr>
          <w:rFonts w:cs="Times New Roman"/>
          <w:color w:val="000000"/>
          <w:szCs w:val="24"/>
        </w:rPr>
        <w:t>and</w:t>
      </w:r>
    </w:p>
    <w:p w:rsidR="009406CB" w:rsidRPr="009406CB" w:rsidRDefault="009406CB" w:rsidP="00803636">
      <w:pPr>
        <w:jc w:val="center"/>
        <w:rPr>
          <w:rFonts w:cs="Times New Roman"/>
          <w:color w:val="000000"/>
          <w:szCs w:val="24"/>
        </w:rPr>
      </w:pPr>
    </w:p>
    <w:p w:rsidR="009406CB" w:rsidRPr="00192221" w:rsidRDefault="009406CB" w:rsidP="00803636">
      <w:pPr>
        <w:jc w:val="center"/>
        <w:rPr>
          <w:rFonts w:cs="Times New Roman"/>
          <w:i/>
          <w:szCs w:val="24"/>
        </w:rPr>
      </w:pPr>
      <w:r w:rsidRPr="00192221">
        <w:rPr>
          <w:rFonts w:cs="Times New Roman"/>
          <w:i/>
          <w:szCs w:val="24"/>
        </w:rPr>
        <w:t>9th International Symposium of Tilapia Aquaculture</w:t>
      </w:r>
    </w:p>
    <w:p w:rsidR="00795A56" w:rsidRPr="009406CB" w:rsidRDefault="00795A56" w:rsidP="00803636">
      <w:pPr>
        <w:jc w:val="center"/>
        <w:rPr>
          <w:rFonts w:cs="Times New Roman"/>
          <w:color w:val="000000"/>
          <w:szCs w:val="24"/>
        </w:rPr>
      </w:pPr>
    </w:p>
    <w:p w:rsidR="0007498B" w:rsidRPr="009406CB" w:rsidRDefault="00795A56" w:rsidP="00803636">
      <w:pPr>
        <w:jc w:val="center"/>
        <w:rPr>
          <w:rFonts w:cs="Times New Roman"/>
          <w:color w:val="000000"/>
          <w:szCs w:val="24"/>
        </w:rPr>
      </w:pPr>
      <w:r w:rsidRPr="009406CB">
        <w:rPr>
          <w:rFonts w:cs="Times New Roman"/>
          <w:color w:val="000000"/>
          <w:szCs w:val="24"/>
        </w:rPr>
        <w:t>Shanghai Ocean University, Shanghai, China</w:t>
      </w:r>
      <w:r w:rsidR="00803636" w:rsidRPr="009406CB">
        <w:rPr>
          <w:rFonts w:cs="Times New Roman"/>
          <w:szCs w:val="24"/>
        </w:rPr>
        <w:t xml:space="preserve">, </w:t>
      </w:r>
      <w:r w:rsidRPr="009406CB">
        <w:rPr>
          <w:rFonts w:cs="Times New Roman"/>
          <w:color w:val="000000"/>
          <w:szCs w:val="24"/>
        </w:rPr>
        <w:t>April 21 – 25, 2011</w:t>
      </w:r>
    </w:p>
    <w:p w:rsidR="00795A56" w:rsidRDefault="00795A56" w:rsidP="00803636">
      <w:pPr>
        <w:jc w:val="center"/>
        <w:rPr>
          <w:rFonts w:cs="Times New Roman"/>
          <w:b/>
          <w:color w:val="000000"/>
          <w:szCs w:val="24"/>
        </w:rPr>
      </w:pPr>
    </w:p>
    <w:p w:rsidR="00795A56" w:rsidRPr="00795A56" w:rsidRDefault="00795A56" w:rsidP="00795A56">
      <w:pPr>
        <w:rPr>
          <w:rFonts w:cs="Arial"/>
          <w:b/>
          <w:szCs w:val="20"/>
        </w:rPr>
      </w:pPr>
    </w:p>
    <w:p w:rsidR="0007498B" w:rsidRDefault="0007498B" w:rsidP="00367004">
      <w:pPr>
        <w:rPr>
          <w:rFonts w:cs="Arial"/>
          <w:szCs w:val="20"/>
        </w:rPr>
      </w:pPr>
    </w:p>
    <w:p w:rsidR="0007498B" w:rsidRDefault="0007498B" w:rsidP="00367004">
      <w:pPr>
        <w:rPr>
          <w:rFonts w:cs="Arial"/>
          <w:szCs w:val="20"/>
        </w:rPr>
      </w:pPr>
    </w:p>
    <w:p w:rsidR="000B0035" w:rsidRDefault="00B02780" w:rsidP="0007498B">
      <w:pPr>
        <w:spacing w:line="480" w:lineRule="auto"/>
        <w:ind w:left="720" w:hanging="720"/>
        <w:rPr>
          <w:rFonts w:cs="Arial"/>
          <w:szCs w:val="20"/>
        </w:rPr>
      </w:pPr>
      <w:r>
        <w:rPr>
          <w:rFonts w:cs="Arial"/>
          <w:szCs w:val="20"/>
        </w:rPr>
        <w:t xml:space="preserve">Steven Buccola </w:t>
      </w:r>
      <w:r w:rsidR="0007498B">
        <w:rPr>
          <w:rFonts w:cs="Arial"/>
          <w:szCs w:val="20"/>
        </w:rPr>
        <w:t xml:space="preserve">and Lin Qin are respectively </w:t>
      </w:r>
      <w:r>
        <w:rPr>
          <w:rFonts w:cs="Arial"/>
          <w:szCs w:val="20"/>
        </w:rPr>
        <w:t xml:space="preserve">professor </w:t>
      </w:r>
      <w:r w:rsidR="0007498B">
        <w:rPr>
          <w:rFonts w:cs="Arial"/>
          <w:szCs w:val="20"/>
        </w:rPr>
        <w:t xml:space="preserve">and graduate research assistant </w:t>
      </w:r>
      <w:r>
        <w:rPr>
          <w:rFonts w:cs="Arial"/>
          <w:szCs w:val="20"/>
        </w:rPr>
        <w:t xml:space="preserve">in the Department of </w:t>
      </w:r>
      <w:r w:rsidRPr="00B02780">
        <w:rPr>
          <w:rFonts w:cs="Arial"/>
          <w:szCs w:val="20"/>
        </w:rPr>
        <w:t>Agricultural and Resource Economics</w:t>
      </w:r>
      <w:r>
        <w:rPr>
          <w:rFonts w:cs="Arial"/>
          <w:szCs w:val="20"/>
        </w:rPr>
        <w:t xml:space="preserve">, </w:t>
      </w:r>
      <w:r w:rsidR="00BD1F42">
        <w:rPr>
          <w:rFonts w:cs="Arial"/>
          <w:szCs w:val="20"/>
        </w:rPr>
        <w:t xml:space="preserve">and Rolf Fare is professor in the Departments of </w:t>
      </w:r>
      <w:r w:rsidR="00683F43">
        <w:rPr>
          <w:rFonts w:cs="Arial"/>
          <w:szCs w:val="20"/>
        </w:rPr>
        <w:t xml:space="preserve">Economics and Agricultural and Resource Economics, </w:t>
      </w:r>
      <w:r w:rsidR="0007498B">
        <w:rPr>
          <w:rFonts w:cs="Arial"/>
          <w:szCs w:val="20"/>
        </w:rPr>
        <w:t xml:space="preserve">Oregon State University, Corvallis, Oregon, USA, 97331.  </w:t>
      </w:r>
      <w:hyperlink r:id="rId8" w:history="1">
        <w:r w:rsidR="00EF614F" w:rsidRPr="004B4CCA">
          <w:rPr>
            <w:rStyle w:val="Hyperlink"/>
            <w:rFonts w:cs="Arial"/>
            <w:szCs w:val="20"/>
          </w:rPr>
          <w:t>sbuccola@oregonstate.edu</w:t>
        </w:r>
      </w:hyperlink>
      <w:r w:rsidR="00795A56">
        <w:rPr>
          <w:rFonts w:cs="Arial"/>
          <w:szCs w:val="20"/>
        </w:rPr>
        <w:t>.</w:t>
      </w:r>
      <w:r w:rsidR="00EF614F">
        <w:rPr>
          <w:rFonts w:cs="Arial"/>
          <w:szCs w:val="20"/>
        </w:rPr>
        <w:t xml:space="preserve"> </w:t>
      </w:r>
      <w:r w:rsidR="0078632C">
        <w:rPr>
          <w:rFonts w:cs="Arial"/>
          <w:szCs w:val="20"/>
        </w:rPr>
        <w:t xml:space="preserve"> </w:t>
      </w:r>
    </w:p>
    <w:p w:rsidR="009551E8" w:rsidRDefault="0078632C" w:rsidP="0007498B">
      <w:pPr>
        <w:spacing w:line="480" w:lineRule="auto"/>
        <w:ind w:left="720" w:hanging="720"/>
        <w:rPr>
          <w:rFonts w:cs="Arial"/>
          <w:szCs w:val="20"/>
        </w:rPr>
        <w:sectPr w:rsidR="009551E8" w:rsidSect="0073297F">
          <w:footerReference w:type="default" r:id="rId9"/>
          <w:pgSz w:w="12240" w:h="15840"/>
          <w:pgMar w:top="1440" w:right="1440" w:bottom="1440" w:left="1440" w:header="720" w:footer="720" w:gutter="0"/>
          <w:cols w:space="720"/>
          <w:docGrid w:linePitch="360"/>
        </w:sectPr>
      </w:pPr>
      <w:r>
        <w:rPr>
          <w:rFonts w:cs="Arial"/>
          <w:szCs w:val="20"/>
        </w:rPr>
        <w:t>This study</w:t>
      </w:r>
      <w:r w:rsidR="0007498B">
        <w:rPr>
          <w:rFonts w:cs="Arial"/>
          <w:szCs w:val="20"/>
        </w:rPr>
        <w:t xml:space="preserve"> is supported by </w:t>
      </w:r>
      <w:r>
        <w:rPr>
          <w:rFonts w:cs="Arial"/>
          <w:szCs w:val="20"/>
        </w:rPr>
        <w:t>the USDAID-sponsored AquaFish Collaborative Research Support Program (AquaFish CRSP)</w:t>
      </w:r>
      <w:r w:rsidR="00EB31CE">
        <w:rPr>
          <w:rFonts w:cs="Arial"/>
          <w:szCs w:val="20"/>
        </w:rPr>
        <w:t xml:space="preserve">, </w:t>
      </w:r>
      <w:hyperlink r:id="rId10" w:history="1">
        <w:r w:rsidR="00EF614F" w:rsidRPr="004B4CCA">
          <w:rPr>
            <w:rStyle w:val="Hyperlink"/>
            <w:rFonts w:cs="Arial"/>
            <w:szCs w:val="20"/>
          </w:rPr>
          <w:t>http://www.aquafishcrsp.oregonstate.edu</w:t>
        </w:r>
      </w:hyperlink>
      <w:r w:rsidR="00EF614F">
        <w:rPr>
          <w:rFonts w:cs="Arial"/>
          <w:szCs w:val="20"/>
        </w:rPr>
        <w:t xml:space="preserve">.  </w:t>
      </w:r>
      <w:r w:rsidR="00683F43">
        <w:rPr>
          <w:rFonts w:cs="Arial"/>
          <w:szCs w:val="20"/>
        </w:rPr>
        <w:t>We thank the AquaFish CRSP staff at Oregon State University for their strong administrative support.</w:t>
      </w:r>
    </w:p>
    <w:p w:rsidR="000B0035" w:rsidRDefault="00C734FC" w:rsidP="00036A04">
      <w:pPr>
        <w:spacing w:after="360" w:line="480" w:lineRule="auto"/>
        <w:jc w:val="center"/>
        <w:rPr>
          <w:b/>
          <w:sz w:val="28"/>
          <w:szCs w:val="28"/>
        </w:rPr>
      </w:pPr>
      <w:r w:rsidRPr="00C734FC">
        <w:rPr>
          <w:b/>
          <w:sz w:val="28"/>
          <w:szCs w:val="28"/>
        </w:rPr>
        <w:lastRenderedPageBreak/>
        <w:t>What Influences the Success of Aquacultural Research Projects</w:t>
      </w:r>
      <w:r w:rsidR="000B0035" w:rsidRPr="00C734FC">
        <w:rPr>
          <w:b/>
          <w:sz w:val="28"/>
          <w:szCs w:val="28"/>
        </w:rPr>
        <w:t>?</w:t>
      </w:r>
    </w:p>
    <w:p w:rsidR="00083CAF" w:rsidRPr="00083CAF" w:rsidRDefault="00083CAF" w:rsidP="00036A04">
      <w:pPr>
        <w:spacing w:after="240" w:line="480" w:lineRule="auto"/>
        <w:rPr>
          <w:rFonts w:cs="Times New Roman"/>
          <w:b/>
          <w:szCs w:val="24"/>
        </w:rPr>
      </w:pPr>
      <w:r w:rsidRPr="00083CAF">
        <w:rPr>
          <w:rFonts w:cs="Times New Roman"/>
          <w:b/>
          <w:szCs w:val="24"/>
        </w:rPr>
        <w:t>Introduction</w:t>
      </w:r>
    </w:p>
    <w:p w:rsidR="00607F95" w:rsidRDefault="00607F95" w:rsidP="00036A04">
      <w:pPr>
        <w:spacing w:line="480" w:lineRule="auto"/>
        <w:ind w:firstLine="720"/>
        <w:rPr>
          <w:rFonts w:cs="Times New Roman"/>
          <w:szCs w:val="24"/>
        </w:rPr>
      </w:pPr>
      <w:r>
        <w:rPr>
          <w:rFonts w:cs="Times New Roman"/>
          <w:szCs w:val="24"/>
        </w:rPr>
        <w:t xml:space="preserve">No research program can enjoy long-run success without </w:t>
      </w:r>
      <w:r w:rsidR="001D08C2">
        <w:rPr>
          <w:rFonts w:cs="Times New Roman"/>
          <w:szCs w:val="24"/>
        </w:rPr>
        <w:t xml:space="preserve">a </w:t>
      </w:r>
      <w:r>
        <w:rPr>
          <w:rFonts w:cs="Times New Roman"/>
          <w:szCs w:val="24"/>
        </w:rPr>
        <w:t xml:space="preserve">periodic assessment </w:t>
      </w:r>
      <w:r w:rsidR="001D08C2">
        <w:rPr>
          <w:rFonts w:cs="Times New Roman"/>
          <w:szCs w:val="24"/>
        </w:rPr>
        <w:t xml:space="preserve">of </w:t>
      </w:r>
      <w:r>
        <w:rPr>
          <w:rFonts w:cs="Times New Roman"/>
          <w:szCs w:val="24"/>
        </w:rPr>
        <w:t>how it is performing and what fact</w:t>
      </w:r>
      <w:r w:rsidR="001D08C2">
        <w:rPr>
          <w:rFonts w:cs="Times New Roman"/>
          <w:szCs w:val="24"/>
        </w:rPr>
        <w:t xml:space="preserve">ors influence success and </w:t>
      </w:r>
      <w:r>
        <w:rPr>
          <w:rFonts w:cs="Times New Roman"/>
          <w:szCs w:val="24"/>
        </w:rPr>
        <w:t xml:space="preserve">failure.  While most such assessments are </w:t>
      </w:r>
      <w:r w:rsidR="007F7EB1">
        <w:rPr>
          <w:rFonts w:cs="Times New Roman"/>
          <w:szCs w:val="24"/>
        </w:rPr>
        <w:t>informal and specific to a parti</w:t>
      </w:r>
      <w:r w:rsidR="001D08C2">
        <w:rPr>
          <w:rFonts w:cs="Times New Roman"/>
          <w:szCs w:val="24"/>
        </w:rPr>
        <w:t>cular study</w:t>
      </w:r>
      <w:r w:rsidR="00C734FC">
        <w:rPr>
          <w:rFonts w:cs="Times New Roman"/>
          <w:szCs w:val="24"/>
        </w:rPr>
        <w:t xml:space="preserve">, </w:t>
      </w:r>
      <w:r w:rsidR="007F7EB1">
        <w:rPr>
          <w:rFonts w:cs="Times New Roman"/>
          <w:szCs w:val="24"/>
        </w:rPr>
        <w:t>formal evaluations eventually become i</w:t>
      </w:r>
      <w:r w:rsidR="001D08C2">
        <w:rPr>
          <w:rFonts w:cs="Times New Roman"/>
          <w:szCs w:val="24"/>
        </w:rPr>
        <w:t>mportant at the program level. A formal analysis the same as an i</w:t>
      </w:r>
      <w:r w:rsidR="007F7EB1">
        <w:rPr>
          <w:rFonts w:cs="Times New Roman"/>
          <w:szCs w:val="24"/>
        </w:rPr>
        <w:t xml:space="preserve">nformal </w:t>
      </w:r>
      <w:r w:rsidR="001D08C2">
        <w:rPr>
          <w:rFonts w:cs="Times New Roman"/>
          <w:szCs w:val="24"/>
        </w:rPr>
        <w:t xml:space="preserve">one </w:t>
      </w:r>
      <w:r w:rsidR="00C734FC">
        <w:rPr>
          <w:rFonts w:cs="Times New Roman"/>
          <w:szCs w:val="24"/>
        </w:rPr>
        <w:t xml:space="preserve">in the sense of </w:t>
      </w:r>
      <w:r w:rsidR="007F7EB1">
        <w:rPr>
          <w:rFonts w:cs="Times New Roman"/>
          <w:szCs w:val="24"/>
        </w:rPr>
        <w:t>comparing research outputs with the i</w:t>
      </w:r>
      <w:r w:rsidR="00C734FC">
        <w:rPr>
          <w:rFonts w:cs="Times New Roman"/>
          <w:szCs w:val="24"/>
        </w:rPr>
        <w:t xml:space="preserve">nputs or efforts </w:t>
      </w:r>
      <w:r w:rsidR="007F7EB1">
        <w:rPr>
          <w:rFonts w:cs="Times New Roman"/>
          <w:szCs w:val="24"/>
        </w:rPr>
        <w:t>expended to achieve them</w:t>
      </w:r>
      <w:r w:rsidR="005D2ADF">
        <w:rPr>
          <w:rFonts w:cs="Times New Roman"/>
          <w:szCs w:val="24"/>
        </w:rPr>
        <w:t xml:space="preserve"> (a “knowledge production function”)</w:t>
      </w:r>
      <w:r w:rsidR="007F7EB1">
        <w:rPr>
          <w:rFonts w:cs="Times New Roman"/>
          <w:szCs w:val="24"/>
        </w:rPr>
        <w:t xml:space="preserve">.  </w:t>
      </w:r>
      <w:r w:rsidR="00722020">
        <w:rPr>
          <w:rFonts w:cs="Times New Roman"/>
          <w:szCs w:val="24"/>
        </w:rPr>
        <w:t xml:space="preserve">Approaches to research assessment thus differ only in how such outputs and inputs are </w:t>
      </w:r>
      <w:r w:rsidR="00C734FC">
        <w:rPr>
          <w:rFonts w:cs="Times New Roman"/>
          <w:szCs w:val="24"/>
        </w:rPr>
        <w:t xml:space="preserve">to be </w:t>
      </w:r>
      <w:r w:rsidR="00722020">
        <w:rPr>
          <w:rFonts w:cs="Times New Roman"/>
          <w:szCs w:val="24"/>
        </w:rPr>
        <w:t>understood, measure</w:t>
      </w:r>
      <w:r w:rsidR="00C734FC">
        <w:rPr>
          <w:rFonts w:cs="Times New Roman"/>
          <w:szCs w:val="24"/>
        </w:rPr>
        <w:t>d, and compared</w:t>
      </w:r>
      <w:r w:rsidR="00722020">
        <w:rPr>
          <w:rFonts w:cs="Times New Roman"/>
          <w:szCs w:val="24"/>
        </w:rPr>
        <w:t xml:space="preserve">.  </w:t>
      </w:r>
    </w:p>
    <w:p w:rsidR="00EE7B9E" w:rsidRDefault="00C734FC" w:rsidP="00036A04">
      <w:pPr>
        <w:spacing w:line="480" w:lineRule="auto"/>
        <w:ind w:firstLine="720"/>
      </w:pPr>
      <w:r>
        <w:rPr>
          <w:rFonts w:cs="Times New Roman"/>
          <w:szCs w:val="24"/>
        </w:rPr>
        <w:t>Asses</w:t>
      </w:r>
      <w:r w:rsidR="005D2ADF">
        <w:rPr>
          <w:rFonts w:cs="Times New Roman"/>
          <w:szCs w:val="24"/>
        </w:rPr>
        <w:t xml:space="preserve">sment methods can be either quantitative </w:t>
      </w:r>
      <w:r w:rsidR="002658EE">
        <w:rPr>
          <w:rFonts w:cs="Times New Roman"/>
          <w:szCs w:val="24"/>
        </w:rPr>
        <w:t>– typically statistical</w:t>
      </w:r>
      <w:r w:rsidR="005D2ADF">
        <w:rPr>
          <w:rFonts w:cs="Times New Roman"/>
          <w:szCs w:val="24"/>
        </w:rPr>
        <w:t xml:space="preserve"> </w:t>
      </w:r>
      <w:r w:rsidR="002658EE">
        <w:rPr>
          <w:rFonts w:cs="Times New Roman"/>
          <w:szCs w:val="24"/>
        </w:rPr>
        <w:t xml:space="preserve">– or the kinds of </w:t>
      </w:r>
      <w:r w:rsidR="005D2ADF">
        <w:rPr>
          <w:rFonts w:cs="Times New Roman"/>
          <w:szCs w:val="24"/>
        </w:rPr>
        <w:t xml:space="preserve"> institutional</w:t>
      </w:r>
      <w:r w:rsidR="001D08C2">
        <w:rPr>
          <w:rFonts w:cs="Times New Roman"/>
          <w:szCs w:val="24"/>
        </w:rPr>
        <w:t xml:space="preserve"> evaluation one sees in a</w:t>
      </w:r>
      <w:r w:rsidR="002658EE">
        <w:rPr>
          <w:rFonts w:cs="Times New Roman"/>
          <w:szCs w:val="24"/>
        </w:rPr>
        <w:t xml:space="preserve"> case stu</w:t>
      </w:r>
      <w:r w:rsidR="001D08C2">
        <w:rPr>
          <w:rFonts w:cs="Times New Roman"/>
          <w:szCs w:val="24"/>
        </w:rPr>
        <w:t>dy</w:t>
      </w:r>
      <w:r w:rsidR="005D2ADF">
        <w:rPr>
          <w:rFonts w:cs="Times New Roman"/>
          <w:szCs w:val="24"/>
        </w:rPr>
        <w:t xml:space="preserve">. </w:t>
      </w:r>
      <w:r>
        <w:rPr>
          <w:rFonts w:cs="Times New Roman"/>
          <w:szCs w:val="24"/>
        </w:rPr>
        <w:t xml:space="preserve"> </w:t>
      </w:r>
      <w:r w:rsidR="005D2ADF">
        <w:rPr>
          <w:rFonts w:cs="Times New Roman"/>
          <w:szCs w:val="24"/>
        </w:rPr>
        <w:t>In biological disciplines, at least, m</w:t>
      </w:r>
      <w:r w:rsidR="001D08C2">
        <w:rPr>
          <w:rFonts w:cs="Times New Roman"/>
          <w:szCs w:val="24"/>
        </w:rPr>
        <w:t>ost statistical analyse</w:t>
      </w:r>
      <w:r w:rsidR="00367004" w:rsidRPr="00B02780">
        <w:rPr>
          <w:rFonts w:cs="Times New Roman"/>
          <w:szCs w:val="24"/>
        </w:rPr>
        <w:t xml:space="preserve">s of the factors affecting research success employ </w:t>
      </w:r>
      <w:r w:rsidR="002658EE">
        <w:rPr>
          <w:rFonts w:cs="Times New Roman"/>
          <w:szCs w:val="24"/>
        </w:rPr>
        <w:t xml:space="preserve">the scientists’ </w:t>
      </w:r>
      <w:r w:rsidR="00367004" w:rsidRPr="00B02780">
        <w:rPr>
          <w:rFonts w:cs="Times New Roman"/>
          <w:szCs w:val="24"/>
        </w:rPr>
        <w:t>publication counts</w:t>
      </w:r>
      <w:r w:rsidR="002658EE">
        <w:rPr>
          <w:rFonts w:cs="Times New Roman"/>
          <w:szCs w:val="24"/>
        </w:rPr>
        <w:t xml:space="preserve">, </w:t>
      </w:r>
      <w:r w:rsidR="00367004" w:rsidRPr="00B02780">
        <w:rPr>
          <w:rFonts w:cs="Times New Roman"/>
          <w:szCs w:val="24"/>
        </w:rPr>
        <w:t>citations</w:t>
      </w:r>
      <w:r w:rsidR="002658EE">
        <w:rPr>
          <w:rFonts w:cs="Times New Roman"/>
          <w:szCs w:val="24"/>
        </w:rPr>
        <w:t>, or intellectual property</w:t>
      </w:r>
      <w:r w:rsidR="00367004" w:rsidRPr="00B02780">
        <w:rPr>
          <w:rFonts w:cs="Times New Roman"/>
          <w:szCs w:val="24"/>
        </w:rPr>
        <w:t xml:space="preserve"> as measures of research output.  </w:t>
      </w:r>
      <w:r w:rsidR="00B500F6" w:rsidRPr="002115B7">
        <w:t xml:space="preserve">Methods are parametric or non-parametric, dynamic or static.  </w:t>
      </w:r>
      <w:r w:rsidR="00B500F6">
        <w:t xml:space="preserve">In the parametric approach, the </w:t>
      </w:r>
      <w:r w:rsidR="00EE7B9E">
        <w:rPr>
          <w:rFonts w:cs="Times New Roman"/>
          <w:szCs w:val="24"/>
        </w:rPr>
        <w:t xml:space="preserve">bibliographic </w:t>
      </w:r>
      <w:r w:rsidR="002658EE">
        <w:rPr>
          <w:rFonts w:cs="Times New Roman"/>
          <w:szCs w:val="24"/>
        </w:rPr>
        <w:t xml:space="preserve">output measures are regressed against </w:t>
      </w:r>
      <w:r w:rsidR="007B026A" w:rsidRPr="006C1988">
        <w:t xml:space="preserve">current and lagged research expenditures, </w:t>
      </w:r>
      <w:r w:rsidR="00FE1EDB">
        <w:t xml:space="preserve">against </w:t>
      </w:r>
      <w:r w:rsidR="006C1988" w:rsidRPr="006C1988">
        <w:t xml:space="preserve">other inputs </w:t>
      </w:r>
      <w:r w:rsidR="00FE1EDB">
        <w:t xml:space="preserve">or </w:t>
      </w:r>
      <w:r w:rsidR="006C1988" w:rsidRPr="006C1988">
        <w:t xml:space="preserve">conditions poorly represented by expenditures, and sometimes </w:t>
      </w:r>
      <w:r w:rsidR="00FE1EDB">
        <w:t xml:space="preserve">against </w:t>
      </w:r>
      <w:r w:rsidR="007B026A" w:rsidRPr="006C1988">
        <w:t>a t</w:t>
      </w:r>
      <w:r w:rsidR="006C1988" w:rsidRPr="006C1988">
        <w:t>ime trend</w:t>
      </w:r>
      <w:r w:rsidR="007B026A" w:rsidRPr="006C1988">
        <w:t>.</w:t>
      </w:r>
      <w:r w:rsidR="006C1988">
        <w:t xml:space="preserve">  </w:t>
      </w:r>
    </w:p>
    <w:p w:rsidR="00B500F6" w:rsidRPr="006E59E9" w:rsidRDefault="00FC1F9B" w:rsidP="00036A04">
      <w:pPr>
        <w:spacing w:line="480" w:lineRule="auto"/>
        <w:ind w:firstLine="720"/>
      </w:pPr>
      <w:r>
        <w:t xml:space="preserve">Adams and Griliches </w:t>
      </w:r>
      <w:r w:rsidR="007A2B4F">
        <w:t>(1996), for example, examine U.S. univer</w:t>
      </w:r>
      <w:r w:rsidR="00321D02">
        <w:t>sity</w:t>
      </w:r>
      <w:r w:rsidR="007A2B4F">
        <w:t xml:space="preserve"> </w:t>
      </w:r>
      <w:r>
        <w:t xml:space="preserve">research performance in eight scientific fields </w:t>
      </w:r>
      <w:r w:rsidR="00321D02">
        <w:t>during</w:t>
      </w:r>
      <w:r w:rsidR="007A2B4F">
        <w:t xml:space="preserve"> the 1980</w:t>
      </w:r>
      <w:r>
        <w:t xml:space="preserve">s.  </w:t>
      </w:r>
      <w:r w:rsidR="00321D02">
        <w:t>They find at the level of a particular university or field that diminishing returns to scale prevail</w:t>
      </w:r>
      <w:r w:rsidR="006E59E9">
        <w:t xml:space="preserve"> in academic research</w:t>
      </w:r>
      <w:r w:rsidR="00321D02">
        <w:t xml:space="preserve">.  That is, increases in study size bring less-than-proportionate increases in the </w:t>
      </w:r>
      <w:r w:rsidR="006E59E9">
        <w:t xml:space="preserve">study’s </w:t>
      </w:r>
      <w:r w:rsidR="00321D02">
        <w:t>pu</w:t>
      </w:r>
      <w:r w:rsidR="006E59E9">
        <w:t>blication output</w:t>
      </w:r>
      <w:r w:rsidR="00321D02">
        <w:t xml:space="preserve">.  At the aggregate level, however, there appears to be approximate </w:t>
      </w:r>
      <w:r w:rsidR="0022562E">
        <w:lastRenderedPageBreak/>
        <w:t xml:space="preserve">equality between research </w:t>
      </w:r>
      <w:r w:rsidR="006E59E9">
        <w:t xml:space="preserve">expenditure and publication (or </w:t>
      </w:r>
      <w:r w:rsidR="0022562E">
        <w:t>citation</w:t>
      </w:r>
      <w:r w:rsidR="006E59E9">
        <w:t>)</w:t>
      </w:r>
      <w:r w:rsidR="0022562E">
        <w:t xml:space="preserve"> performance, possibly because aggregate data incorporate cross-study knowledge spillovers that are not captured in more disaggregated data.  </w:t>
      </w:r>
      <w:r w:rsidR="00717669">
        <w:t xml:space="preserve">These methods have more recently been applied to life-science research by </w:t>
      </w:r>
      <w:r w:rsidR="00B500F6">
        <w:t xml:space="preserve">Smith </w:t>
      </w:r>
      <w:r w:rsidR="00F026F2">
        <w:t>(</w:t>
      </w:r>
      <w:r w:rsidR="00B500F6">
        <w:t>1998</w:t>
      </w:r>
      <w:r w:rsidR="00F026F2">
        <w:t xml:space="preserve">), </w:t>
      </w:r>
      <w:r w:rsidR="00717669" w:rsidRPr="006E59E9">
        <w:t xml:space="preserve">Xia and Buccola (2005), </w:t>
      </w:r>
      <w:r w:rsidR="00B500F6" w:rsidRPr="006E59E9">
        <w:t xml:space="preserve">Groot and Garcia-Valderrama </w:t>
      </w:r>
      <w:r w:rsidR="00F026F2" w:rsidRPr="006E59E9">
        <w:t>(</w:t>
      </w:r>
      <w:r w:rsidR="00B500F6" w:rsidRPr="006E59E9">
        <w:t>2006</w:t>
      </w:r>
      <w:r w:rsidR="00F026F2" w:rsidRPr="006E59E9">
        <w:t>)</w:t>
      </w:r>
      <w:r w:rsidR="00B500F6" w:rsidRPr="006E59E9">
        <w:t xml:space="preserve">, </w:t>
      </w:r>
      <w:r w:rsidR="00717669" w:rsidRPr="006E59E9">
        <w:t>Buccola, Ervin</w:t>
      </w:r>
      <w:r w:rsidR="0069735E">
        <w:t>, and Yang (2009)</w:t>
      </w:r>
      <w:r w:rsidR="00717669" w:rsidRPr="006E59E9">
        <w:t xml:space="preserve">. </w:t>
      </w:r>
    </w:p>
    <w:p w:rsidR="00EE7B9E" w:rsidRDefault="0050378D" w:rsidP="00036A04">
      <w:pPr>
        <w:spacing w:line="480" w:lineRule="auto"/>
        <w:ind w:firstLine="720"/>
        <w:rPr>
          <w:rFonts w:cs="Times New Roman"/>
          <w:szCs w:val="24"/>
        </w:rPr>
      </w:pPr>
      <w:r>
        <w:rPr>
          <w:rFonts w:cs="Times New Roman"/>
          <w:szCs w:val="24"/>
        </w:rPr>
        <w:t xml:space="preserve">The bibliometric approach is, despite its widespread use, </w:t>
      </w:r>
      <w:r w:rsidR="00367004" w:rsidRPr="00B02780">
        <w:rPr>
          <w:rFonts w:cs="Times New Roman"/>
          <w:szCs w:val="24"/>
        </w:rPr>
        <w:t xml:space="preserve">inadequate in a number of respects.  </w:t>
      </w:r>
      <w:r w:rsidR="00A655DB">
        <w:rPr>
          <w:rFonts w:cs="Times New Roman"/>
          <w:szCs w:val="24"/>
        </w:rPr>
        <w:t>The first and probably most important difficulty is that publication, patent, and journal citation</w:t>
      </w:r>
      <w:r w:rsidR="00D81DBB">
        <w:rPr>
          <w:rFonts w:cs="Times New Roman"/>
          <w:szCs w:val="24"/>
        </w:rPr>
        <w:t xml:space="preserve"> rates mask much of the </w:t>
      </w:r>
      <w:r w:rsidR="00802E7C">
        <w:rPr>
          <w:rFonts w:cs="Times New Roman"/>
          <w:szCs w:val="24"/>
        </w:rPr>
        <w:t>detail of a</w:t>
      </w:r>
      <w:r w:rsidR="00D81DBB">
        <w:rPr>
          <w:rFonts w:cs="Times New Roman"/>
          <w:szCs w:val="24"/>
        </w:rPr>
        <w:t xml:space="preserve"> study’s </w:t>
      </w:r>
      <w:r w:rsidR="00802E7C">
        <w:rPr>
          <w:rFonts w:cs="Times New Roman"/>
          <w:szCs w:val="24"/>
        </w:rPr>
        <w:t xml:space="preserve">findings and thus </w:t>
      </w:r>
      <w:r w:rsidR="006E59E9">
        <w:rPr>
          <w:rFonts w:cs="Times New Roman"/>
          <w:szCs w:val="24"/>
        </w:rPr>
        <w:t xml:space="preserve">only grossly </w:t>
      </w:r>
      <w:r w:rsidR="00802E7C">
        <w:rPr>
          <w:rFonts w:cs="Times New Roman"/>
          <w:szCs w:val="24"/>
        </w:rPr>
        <w:t>r</w:t>
      </w:r>
      <w:r w:rsidR="00BD58E3">
        <w:rPr>
          <w:rFonts w:cs="Times New Roman"/>
          <w:szCs w:val="24"/>
        </w:rPr>
        <w:t>eflect the findings’</w:t>
      </w:r>
      <w:r w:rsidR="00D81DBB">
        <w:rPr>
          <w:rFonts w:cs="Times New Roman"/>
          <w:szCs w:val="24"/>
        </w:rPr>
        <w:t xml:space="preserve"> </w:t>
      </w:r>
      <w:r w:rsidR="00802E7C">
        <w:rPr>
          <w:rFonts w:cs="Times New Roman"/>
          <w:szCs w:val="24"/>
        </w:rPr>
        <w:t>nature, magnitude, and importance.  Much published output also becomes available only years after the stud</w:t>
      </w:r>
      <w:r w:rsidR="00EE7B9E">
        <w:rPr>
          <w:rFonts w:cs="Times New Roman"/>
          <w:szCs w:val="24"/>
        </w:rPr>
        <w:t xml:space="preserve">y has been completed.  Finally, the bibliometric approach is poorly suited to an exact matching of a study’s outputs and inputs.  </w:t>
      </w:r>
    </w:p>
    <w:p w:rsidR="00367004" w:rsidRPr="00B02780" w:rsidRDefault="00367004" w:rsidP="00036A04">
      <w:pPr>
        <w:spacing w:line="480" w:lineRule="auto"/>
        <w:ind w:firstLine="720"/>
        <w:rPr>
          <w:rFonts w:cs="Times New Roman"/>
          <w:szCs w:val="24"/>
        </w:rPr>
      </w:pPr>
      <w:r w:rsidRPr="00B02780">
        <w:rPr>
          <w:rFonts w:cs="Times New Roman"/>
          <w:szCs w:val="24"/>
        </w:rPr>
        <w:t>To help so</w:t>
      </w:r>
      <w:r w:rsidR="007A067F">
        <w:rPr>
          <w:rFonts w:cs="Times New Roman"/>
          <w:szCs w:val="24"/>
        </w:rPr>
        <w:t xml:space="preserve">lve these difficulties, we examine here </w:t>
      </w:r>
      <w:r w:rsidRPr="00B02780">
        <w:rPr>
          <w:rFonts w:cs="Times New Roman"/>
          <w:szCs w:val="24"/>
        </w:rPr>
        <w:t>a new approach to research assessment</w:t>
      </w:r>
      <w:r w:rsidR="007A067F">
        <w:rPr>
          <w:rFonts w:cs="Times New Roman"/>
          <w:szCs w:val="24"/>
        </w:rPr>
        <w:t>.  The new method focuses directly</w:t>
      </w:r>
      <w:r w:rsidRPr="00B02780">
        <w:rPr>
          <w:rFonts w:cs="Times New Roman"/>
          <w:szCs w:val="24"/>
        </w:rPr>
        <w:t xml:space="preserve"> on the information a</w:t>
      </w:r>
      <w:r w:rsidR="007A067F">
        <w:rPr>
          <w:rFonts w:cs="Times New Roman"/>
          <w:szCs w:val="24"/>
        </w:rPr>
        <w:t xml:space="preserve"> research </w:t>
      </w:r>
      <w:r w:rsidRPr="00B02780">
        <w:rPr>
          <w:rFonts w:cs="Times New Roman"/>
          <w:szCs w:val="24"/>
        </w:rPr>
        <w:t>study has generated</w:t>
      </w:r>
      <w:r w:rsidR="00BD58E3">
        <w:rPr>
          <w:rFonts w:cs="Times New Roman"/>
          <w:szCs w:val="24"/>
        </w:rPr>
        <w:t xml:space="preserve">, enabling a more exact </w:t>
      </w:r>
      <w:r w:rsidR="005A2E2F">
        <w:rPr>
          <w:rFonts w:cs="Times New Roman"/>
          <w:szCs w:val="24"/>
        </w:rPr>
        <w:t xml:space="preserve">and more contemporaneous </w:t>
      </w:r>
      <w:r w:rsidR="00BD58E3">
        <w:rPr>
          <w:rFonts w:cs="Times New Roman"/>
          <w:szCs w:val="24"/>
        </w:rPr>
        <w:t>matching of that information t</w:t>
      </w:r>
      <w:r w:rsidR="007A067F">
        <w:rPr>
          <w:rFonts w:cs="Times New Roman"/>
          <w:szCs w:val="24"/>
        </w:rPr>
        <w:t xml:space="preserve">o the </w:t>
      </w:r>
      <w:r w:rsidR="00E70D91">
        <w:rPr>
          <w:rFonts w:cs="Times New Roman"/>
          <w:szCs w:val="24"/>
        </w:rPr>
        <w:t xml:space="preserve">skills, </w:t>
      </w:r>
      <w:r w:rsidR="007A067F">
        <w:rPr>
          <w:rFonts w:cs="Times New Roman"/>
          <w:szCs w:val="24"/>
        </w:rPr>
        <w:t xml:space="preserve">expenditures, and </w:t>
      </w:r>
      <w:r w:rsidR="00BD58E3">
        <w:rPr>
          <w:rFonts w:cs="Times New Roman"/>
          <w:szCs w:val="24"/>
        </w:rPr>
        <w:t>capital devoted to the</w:t>
      </w:r>
      <w:r w:rsidR="00E70D91">
        <w:rPr>
          <w:rFonts w:cs="Times New Roman"/>
          <w:szCs w:val="24"/>
        </w:rPr>
        <w:t xml:space="preserve"> study.  We apply the approach to </w:t>
      </w:r>
      <w:r w:rsidR="00BD58E3">
        <w:rPr>
          <w:rFonts w:cs="Times New Roman"/>
          <w:szCs w:val="24"/>
        </w:rPr>
        <w:t>the 55</w:t>
      </w:r>
      <w:r w:rsidRPr="00B02780">
        <w:rPr>
          <w:rFonts w:cs="Times New Roman"/>
          <w:szCs w:val="24"/>
        </w:rPr>
        <w:t xml:space="preserve"> past and on-going aquacultural research investigations </w:t>
      </w:r>
      <w:r w:rsidR="00BD58E3">
        <w:rPr>
          <w:rFonts w:cs="Times New Roman"/>
          <w:szCs w:val="24"/>
        </w:rPr>
        <w:t xml:space="preserve">which </w:t>
      </w:r>
      <w:r w:rsidR="00E70D91">
        <w:rPr>
          <w:rFonts w:cs="Times New Roman"/>
          <w:szCs w:val="24"/>
        </w:rPr>
        <w:t>AquaFish CRSP</w:t>
      </w:r>
      <w:r w:rsidR="00BD58E3">
        <w:rPr>
          <w:rFonts w:cs="Times New Roman"/>
          <w:szCs w:val="24"/>
        </w:rPr>
        <w:t xml:space="preserve"> is pursuing</w:t>
      </w:r>
      <w:r w:rsidR="00E70D91">
        <w:rPr>
          <w:rFonts w:cs="Times New Roman"/>
          <w:szCs w:val="24"/>
        </w:rPr>
        <w:t xml:space="preserve"> </w:t>
      </w:r>
      <w:r w:rsidRPr="00B02780">
        <w:rPr>
          <w:rFonts w:cs="Times New Roman"/>
          <w:szCs w:val="24"/>
        </w:rPr>
        <w:t xml:space="preserve">in eleven countries.  </w:t>
      </w:r>
    </w:p>
    <w:p w:rsidR="00E70D91" w:rsidRPr="00E70D91" w:rsidRDefault="00A65878" w:rsidP="00036A04">
      <w:pPr>
        <w:spacing w:before="240" w:after="240" w:line="480" w:lineRule="auto"/>
        <w:rPr>
          <w:rFonts w:cs="Times New Roman"/>
          <w:b/>
          <w:szCs w:val="24"/>
        </w:rPr>
      </w:pPr>
      <w:r>
        <w:rPr>
          <w:rFonts w:cs="Times New Roman"/>
          <w:b/>
          <w:szCs w:val="24"/>
        </w:rPr>
        <w:t>Conceptual Framework</w:t>
      </w:r>
    </w:p>
    <w:p w:rsidR="00724E28" w:rsidRDefault="00E70D91" w:rsidP="00036A04">
      <w:pPr>
        <w:spacing w:after="120" w:line="480" w:lineRule="auto"/>
        <w:ind w:firstLine="720"/>
        <w:rPr>
          <w:rFonts w:cs="Times New Roman"/>
          <w:szCs w:val="24"/>
        </w:rPr>
      </w:pPr>
      <w:r>
        <w:rPr>
          <w:rFonts w:cs="Times New Roman"/>
          <w:szCs w:val="24"/>
        </w:rPr>
        <w:t>To p</w:t>
      </w:r>
      <w:r w:rsidR="00724E28">
        <w:rPr>
          <w:rFonts w:cs="Times New Roman"/>
          <w:szCs w:val="24"/>
        </w:rPr>
        <w:t>lace this approach in its broadest</w:t>
      </w:r>
      <w:r>
        <w:rPr>
          <w:rFonts w:cs="Times New Roman"/>
          <w:szCs w:val="24"/>
        </w:rPr>
        <w:t xml:space="preserve"> context, let </w:t>
      </w:r>
      <w:r w:rsidR="009324F0" w:rsidRPr="009324F0">
        <w:rPr>
          <w:rFonts w:cs="Times New Roman"/>
          <w:i/>
          <w:szCs w:val="24"/>
        </w:rPr>
        <w:t>K</w:t>
      </w:r>
      <w:r w:rsidR="009324F0">
        <w:rPr>
          <w:rFonts w:cs="Times New Roman"/>
          <w:szCs w:val="24"/>
        </w:rPr>
        <w:t xml:space="preserve"> represent the knowledge an a</w:t>
      </w:r>
      <w:r w:rsidR="008E7DCD">
        <w:rPr>
          <w:rFonts w:cs="Times New Roman"/>
          <w:szCs w:val="24"/>
        </w:rPr>
        <w:t>quacultural study has generated;</w:t>
      </w:r>
      <w:r w:rsidR="009324F0">
        <w:rPr>
          <w:rFonts w:cs="Times New Roman"/>
          <w:szCs w:val="24"/>
        </w:rPr>
        <w:t xml:space="preserve"> </w:t>
      </w:r>
      <w:r w:rsidR="009324F0" w:rsidRPr="009324F0">
        <w:rPr>
          <w:rFonts w:cs="Times New Roman"/>
          <w:i/>
          <w:szCs w:val="24"/>
        </w:rPr>
        <w:t>E</w:t>
      </w:r>
      <w:r w:rsidR="00235E5D">
        <w:rPr>
          <w:rFonts w:cs="Times New Roman"/>
          <w:szCs w:val="24"/>
        </w:rPr>
        <w:t xml:space="preserve"> the</w:t>
      </w:r>
      <w:r w:rsidR="009324F0">
        <w:rPr>
          <w:rFonts w:cs="Times New Roman"/>
          <w:szCs w:val="24"/>
        </w:rPr>
        <w:t xml:space="preserve"> study</w:t>
      </w:r>
      <w:r w:rsidR="00235E5D">
        <w:rPr>
          <w:rFonts w:cs="Times New Roman"/>
          <w:szCs w:val="24"/>
        </w:rPr>
        <w:t>’s</w:t>
      </w:r>
      <w:r w:rsidR="008E7DCD">
        <w:rPr>
          <w:rFonts w:cs="Times New Roman"/>
          <w:szCs w:val="24"/>
        </w:rPr>
        <w:t xml:space="preserve"> expenditures; </w:t>
      </w:r>
      <w:r w:rsidR="00724E28" w:rsidRPr="00724E28">
        <w:rPr>
          <w:rFonts w:cs="Times New Roman"/>
          <w:i/>
          <w:szCs w:val="24"/>
        </w:rPr>
        <w:t>M</w:t>
      </w:r>
      <w:r w:rsidR="00724E28">
        <w:rPr>
          <w:rFonts w:cs="Times New Roman"/>
          <w:szCs w:val="24"/>
        </w:rPr>
        <w:t xml:space="preserve"> the research man</w:t>
      </w:r>
      <w:r w:rsidR="00B224CC">
        <w:rPr>
          <w:rFonts w:cs="Times New Roman"/>
          <w:szCs w:val="24"/>
        </w:rPr>
        <w:t xml:space="preserve">agement policies, </w:t>
      </w:r>
      <w:r w:rsidR="008E7DCD">
        <w:rPr>
          <w:rFonts w:cs="Times New Roman"/>
          <w:szCs w:val="24"/>
        </w:rPr>
        <w:t xml:space="preserve">such as </w:t>
      </w:r>
      <w:r w:rsidR="00372509">
        <w:rPr>
          <w:rFonts w:cs="Times New Roman"/>
          <w:szCs w:val="24"/>
        </w:rPr>
        <w:t>choice between control and survey methods</w:t>
      </w:r>
      <w:r w:rsidR="008E7DCD">
        <w:rPr>
          <w:rFonts w:cs="Times New Roman"/>
          <w:szCs w:val="24"/>
        </w:rPr>
        <w:t xml:space="preserve">; </w:t>
      </w:r>
      <w:r w:rsidR="009324F0" w:rsidRPr="009324F0">
        <w:rPr>
          <w:rFonts w:cs="Times New Roman"/>
          <w:i/>
          <w:szCs w:val="24"/>
        </w:rPr>
        <w:t>C</w:t>
      </w:r>
      <w:r w:rsidR="009324F0">
        <w:rPr>
          <w:rFonts w:cs="Times New Roman"/>
          <w:szCs w:val="24"/>
        </w:rPr>
        <w:t xml:space="preserve"> the human capital devoted to the study (and which can be only imperfectly</w:t>
      </w:r>
      <w:r w:rsidR="008E7DCD">
        <w:rPr>
          <w:rFonts w:cs="Times New Roman"/>
          <w:szCs w:val="24"/>
        </w:rPr>
        <w:t xml:space="preserve"> captured in expenditures); </w:t>
      </w:r>
      <w:r w:rsidR="009324F0" w:rsidRPr="009324F0">
        <w:rPr>
          <w:rFonts w:cs="Times New Roman"/>
          <w:i/>
          <w:szCs w:val="24"/>
        </w:rPr>
        <w:t>I</w:t>
      </w:r>
      <w:r w:rsidR="009324F0">
        <w:rPr>
          <w:rFonts w:cs="Times New Roman"/>
          <w:szCs w:val="24"/>
        </w:rPr>
        <w:t xml:space="preserve"> the </w:t>
      </w:r>
      <w:r w:rsidR="009324F0">
        <w:rPr>
          <w:rFonts w:cs="Times New Roman"/>
          <w:szCs w:val="24"/>
        </w:rPr>
        <w:lastRenderedPageBreak/>
        <w:t>institutional, cultural, and environmental conditions u</w:t>
      </w:r>
      <w:r w:rsidR="008E7DCD">
        <w:rPr>
          <w:rFonts w:cs="Times New Roman"/>
          <w:szCs w:val="24"/>
        </w:rPr>
        <w:t xml:space="preserve">nder which the study is pursued; and </w:t>
      </w:r>
      <w:r w:rsidR="008E7DCD" w:rsidRPr="008E7DCD">
        <w:rPr>
          <w:rFonts w:cs="Times New Roman"/>
          <w:position w:val="-6"/>
          <w:szCs w:val="24"/>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11" o:title=""/>
          </v:shape>
          <o:OLEObject Type="Embed" ProgID="Equation.DSMT4" ShapeID="_x0000_i1025" DrawAspect="Content" ObjectID="_1358241466" r:id="rId12"/>
        </w:object>
      </w:r>
      <w:r w:rsidR="008E7DCD">
        <w:rPr>
          <w:rFonts w:cs="Times New Roman"/>
          <w:szCs w:val="24"/>
        </w:rPr>
        <w:t xml:space="preserve"> the unexplained variation.</w:t>
      </w:r>
      <w:r w:rsidR="00724E28">
        <w:rPr>
          <w:rFonts w:cs="Times New Roman"/>
          <w:szCs w:val="24"/>
        </w:rPr>
        <w:t xml:space="preserve">  We </w:t>
      </w:r>
      <w:r w:rsidR="00083CAF">
        <w:rPr>
          <w:rFonts w:cs="Times New Roman"/>
          <w:szCs w:val="24"/>
        </w:rPr>
        <w:t xml:space="preserve">then </w:t>
      </w:r>
      <w:r w:rsidR="00724E28">
        <w:rPr>
          <w:rFonts w:cs="Times New Roman"/>
          <w:szCs w:val="24"/>
        </w:rPr>
        <w:t xml:space="preserve">can relate the magnitude </w:t>
      </w:r>
      <w:r w:rsidR="00724E28" w:rsidRPr="00083CAF">
        <w:rPr>
          <w:rFonts w:cs="Times New Roman"/>
          <w:i/>
          <w:szCs w:val="24"/>
        </w:rPr>
        <w:t>K</w:t>
      </w:r>
      <w:r w:rsidR="00724E28">
        <w:rPr>
          <w:rFonts w:cs="Times New Roman"/>
          <w:szCs w:val="24"/>
        </w:rPr>
        <w:t xml:space="preserve"> of the study o</w:t>
      </w:r>
      <w:r w:rsidR="00083CAF">
        <w:rPr>
          <w:rFonts w:cs="Times New Roman"/>
          <w:szCs w:val="24"/>
        </w:rPr>
        <w:t>utcome</w:t>
      </w:r>
      <w:r w:rsidR="00724E28">
        <w:rPr>
          <w:rFonts w:cs="Times New Roman"/>
          <w:szCs w:val="24"/>
        </w:rPr>
        <w:t xml:space="preserve"> to the inputs af</w:t>
      </w:r>
      <w:r w:rsidR="00083CAF">
        <w:rPr>
          <w:rFonts w:cs="Times New Roman"/>
          <w:szCs w:val="24"/>
        </w:rPr>
        <w:t>fecting that magnitude:</w:t>
      </w:r>
      <w:r w:rsidR="00724E28">
        <w:rPr>
          <w:rFonts w:cs="Times New Roman"/>
          <w:szCs w:val="24"/>
        </w:rPr>
        <w:t xml:space="preserve"> </w:t>
      </w:r>
    </w:p>
    <w:p w:rsidR="00724E28" w:rsidRPr="00724E28" w:rsidRDefault="008E7DCD" w:rsidP="00A455F3">
      <w:pPr>
        <w:pStyle w:val="ListParagraph"/>
        <w:numPr>
          <w:ilvl w:val="0"/>
          <w:numId w:val="1"/>
        </w:numPr>
        <w:spacing w:before="240" w:after="240" w:line="480" w:lineRule="auto"/>
        <w:ind w:hanging="2520"/>
        <w:rPr>
          <w:rFonts w:cs="Times New Roman"/>
          <w:szCs w:val="24"/>
        </w:rPr>
      </w:pPr>
      <w:r w:rsidRPr="00724E28">
        <w:rPr>
          <w:position w:val="-10"/>
        </w:rPr>
        <w:object w:dxaOrig="2640" w:dyaOrig="320">
          <v:shape id="_x0000_i1026" type="#_x0000_t75" style="width:132pt;height:15.75pt" o:ole="">
            <v:imagedata r:id="rId13" o:title=""/>
          </v:shape>
          <o:OLEObject Type="Embed" ProgID="Equation.DSMT4" ShapeID="_x0000_i1026" DrawAspect="Content" ObjectID="_1358241467" r:id="rId14"/>
        </w:object>
      </w:r>
    </w:p>
    <w:p w:rsidR="009324F0" w:rsidRDefault="00D7559F" w:rsidP="00036A04">
      <w:pPr>
        <w:spacing w:after="240" w:line="480" w:lineRule="auto"/>
        <w:rPr>
          <w:rFonts w:cs="Times New Roman"/>
          <w:szCs w:val="24"/>
        </w:rPr>
      </w:pPr>
      <w:r>
        <w:rPr>
          <w:rFonts w:cs="Times New Roman"/>
          <w:szCs w:val="24"/>
        </w:rPr>
        <w:t>a</w:t>
      </w:r>
      <w:r w:rsidR="00083CAF">
        <w:rPr>
          <w:rFonts w:cs="Times New Roman"/>
          <w:szCs w:val="24"/>
        </w:rPr>
        <w:t xml:space="preserve">nd in this way </w:t>
      </w:r>
      <w:r>
        <w:rPr>
          <w:rFonts w:cs="Times New Roman"/>
          <w:szCs w:val="24"/>
        </w:rPr>
        <w:t xml:space="preserve">individually examine </w:t>
      </w:r>
      <w:r w:rsidR="00083CAF">
        <w:rPr>
          <w:rFonts w:cs="Times New Roman"/>
          <w:szCs w:val="24"/>
        </w:rPr>
        <w:t xml:space="preserve">the impacts of factors </w:t>
      </w:r>
      <w:r w:rsidR="00083CAF" w:rsidRPr="00083CAF">
        <w:rPr>
          <w:rFonts w:cs="Times New Roman"/>
          <w:i/>
          <w:szCs w:val="24"/>
        </w:rPr>
        <w:t>E</w:t>
      </w:r>
      <w:r w:rsidR="00083CAF">
        <w:rPr>
          <w:rFonts w:cs="Times New Roman"/>
          <w:szCs w:val="24"/>
        </w:rPr>
        <w:t xml:space="preserve">, </w:t>
      </w:r>
      <w:r w:rsidR="00083CAF" w:rsidRPr="00083CAF">
        <w:rPr>
          <w:rFonts w:cs="Times New Roman"/>
          <w:i/>
          <w:szCs w:val="24"/>
        </w:rPr>
        <w:t>M</w:t>
      </w:r>
      <w:r w:rsidR="00083CAF">
        <w:rPr>
          <w:rFonts w:cs="Times New Roman"/>
          <w:szCs w:val="24"/>
        </w:rPr>
        <w:t xml:space="preserve">, </w:t>
      </w:r>
      <w:r w:rsidR="00083CAF" w:rsidRPr="00083CAF">
        <w:rPr>
          <w:rFonts w:cs="Times New Roman"/>
          <w:i/>
          <w:szCs w:val="24"/>
        </w:rPr>
        <w:t>C</w:t>
      </w:r>
      <w:r w:rsidR="00083CAF">
        <w:rPr>
          <w:rFonts w:cs="Times New Roman"/>
          <w:szCs w:val="24"/>
        </w:rPr>
        <w:t xml:space="preserve">, and </w:t>
      </w:r>
      <w:r w:rsidR="00083CAF" w:rsidRPr="00083CAF">
        <w:rPr>
          <w:rFonts w:cs="Times New Roman"/>
          <w:i/>
          <w:szCs w:val="24"/>
        </w:rPr>
        <w:t>I</w:t>
      </w:r>
      <w:r w:rsidR="00083CAF">
        <w:rPr>
          <w:rFonts w:cs="Times New Roman"/>
          <w:szCs w:val="24"/>
        </w:rPr>
        <w:t xml:space="preserve"> on knowledge output </w:t>
      </w:r>
      <w:r w:rsidR="00083CAF" w:rsidRPr="00083CAF">
        <w:rPr>
          <w:rFonts w:cs="Times New Roman"/>
          <w:i/>
          <w:szCs w:val="24"/>
        </w:rPr>
        <w:t>K</w:t>
      </w:r>
      <w:r>
        <w:rPr>
          <w:rFonts w:cs="Times New Roman"/>
          <w:szCs w:val="24"/>
        </w:rPr>
        <w:t>.   For example, we can est</w:t>
      </w:r>
      <w:r w:rsidR="00372509">
        <w:rPr>
          <w:rFonts w:cs="Times New Roman"/>
          <w:szCs w:val="24"/>
        </w:rPr>
        <w:t xml:space="preserve">imate the effectiveness of </w:t>
      </w:r>
      <w:r>
        <w:rPr>
          <w:rFonts w:cs="Times New Roman"/>
          <w:szCs w:val="24"/>
        </w:rPr>
        <w:t>resea</w:t>
      </w:r>
      <w:r w:rsidR="00372509">
        <w:rPr>
          <w:rFonts w:cs="Times New Roman"/>
          <w:szCs w:val="24"/>
        </w:rPr>
        <w:t xml:space="preserve">rch management policies </w:t>
      </w:r>
      <w:r>
        <w:rPr>
          <w:rFonts w:cs="Times New Roman"/>
          <w:szCs w:val="24"/>
        </w:rPr>
        <w:t>while holding exp</w:t>
      </w:r>
      <w:r w:rsidR="005B25B4">
        <w:rPr>
          <w:rFonts w:cs="Times New Roman"/>
          <w:szCs w:val="24"/>
        </w:rPr>
        <w:t>enditure</w:t>
      </w:r>
      <w:r w:rsidR="001A3C68">
        <w:rPr>
          <w:rFonts w:cs="Times New Roman"/>
          <w:szCs w:val="24"/>
        </w:rPr>
        <w:t xml:space="preserve">, </w:t>
      </w:r>
      <w:r w:rsidR="005B25B4">
        <w:rPr>
          <w:rFonts w:cs="Times New Roman"/>
          <w:szCs w:val="24"/>
        </w:rPr>
        <w:t>such human-</w:t>
      </w:r>
      <w:r>
        <w:rPr>
          <w:rFonts w:cs="Times New Roman"/>
          <w:szCs w:val="24"/>
        </w:rPr>
        <w:t>capital</w:t>
      </w:r>
      <w:r w:rsidR="005B25B4">
        <w:rPr>
          <w:rFonts w:cs="Times New Roman"/>
          <w:szCs w:val="24"/>
        </w:rPr>
        <w:t xml:space="preserve"> dimensions as</w:t>
      </w:r>
      <w:r w:rsidR="001A3C68">
        <w:rPr>
          <w:rFonts w:cs="Times New Roman"/>
          <w:szCs w:val="24"/>
        </w:rPr>
        <w:t xml:space="preserve"> researcher education and experience</w:t>
      </w:r>
      <w:r>
        <w:rPr>
          <w:rFonts w:cs="Times New Roman"/>
          <w:szCs w:val="24"/>
        </w:rPr>
        <w:t xml:space="preserve">, and environmental conditions statistically constant.  </w:t>
      </w:r>
    </w:p>
    <w:p w:rsidR="00A65878" w:rsidRPr="00A65878" w:rsidRDefault="00A65878" w:rsidP="00036A04">
      <w:pPr>
        <w:spacing w:after="120" w:line="480" w:lineRule="auto"/>
        <w:rPr>
          <w:rFonts w:cs="Times New Roman"/>
          <w:i/>
          <w:szCs w:val="24"/>
        </w:rPr>
      </w:pPr>
      <w:r w:rsidRPr="00A65878">
        <w:rPr>
          <w:rFonts w:cs="Times New Roman"/>
          <w:i/>
          <w:szCs w:val="24"/>
        </w:rPr>
        <w:t>Difficulties in Measuring Research Output</w:t>
      </w:r>
    </w:p>
    <w:p w:rsidR="004C539D" w:rsidRDefault="00D510A5" w:rsidP="00036A04">
      <w:pPr>
        <w:spacing w:line="480" w:lineRule="auto"/>
        <w:ind w:firstLine="720"/>
        <w:rPr>
          <w:rFonts w:cs="Times New Roman"/>
          <w:szCs w:val="24"/>
        </w:rPr>
      </w:pPr>
      <w:r>
        <w:rPr>
          <w:rFonts w:cs="Times New Roman"/>
          <w:szCs w:val="24"/>
        </w:rPr>
        <w:t xml:space="preserve">Relationship (1) is best characterized with disaggregated data, that is </w:t>
      </w:r>
      <w:r w:rsidR="005B25B4">
        <w:rPr>
          <w:rFonts w:cs="Times New Roman"/>
          <w:szCs w:val="24"/>
        </w:rPr>
        <w:t xml:space="preserve">with </w:t>
      </w:r>
      <w:r w:rsidR="00EC1D3C">
        <w:rPr>
          <w:rFonts w:cs="Times New Roman"/>
          <w:szCs w:val="24"/>
        </w:rPr>
        <w:t xml:space="preserve">observations on many </w:t>
      </w:r>
      <w:r>
        <w:rPr>
          <w:rFonts w:cs="Times New Roman"/>
          <w:szCs w:val="24"/>
        </w:rPr>
        <w:t>individual</w:t>
      </w:r>
      <w:r w:rsidR="005B25B4">
        <w:rPr>
          <w:rFonts w:cs="Times New Roman"/>
          <w:szCs w:val="24"/>
        </w:rPr>
        <w:t xml:space="preserve"> studies.  With disaggregate</w:t>
      </w:r>
      <w:r w:rsidR="00EC1D3C">
        <w:rPr>
          <w:rFonts w:cs="Times New Roman"/>
          <w:szCs w:val="24"/>
        </w:rPr>
        <w:t xml:space="preserve"> data</w:t>
      </w:r>
      <w:r w:rsidR="000B7C8A">
        <w:rPr>
          <w:rFonts w:cs="Times New Roman"/>
          <w:szCs w:val="24"/>
        </w:rPr>
        <w:t>,</w:t>
      </w:r>
      <w:r>
        <w:rPr>
          <w:rFonts w:cs="Times New Roman"/>
          <w:szCs w:val="24"/>
        </w:rPr>
        <w:t xml:space="preserve"> information about research expenditure</w:t>
      </w:r>
      <w:r w:rsidR="000B7C8A">
        <w:rPr>
          <w:rFonts w:cs="Times New Roman"/>
          <w:szCs w:val="24"/>
        </w:rPr>
        <w:t>s</w:t>
      </w:r>
      <w:r w:rsidR="00EC1D3C">
        <w:rPr>
          <w:rFonts w:cs="Times New Roman"/>
          <w:szCs w:val="24"/>
        </w:rPr>
        <w:t xml:space="preserve">, the </w:t>
      </w:r>
      <w:r w:rsidR="005B25B4">
        <w:rPr>
          <w:rFonts w:cs="Times New Roman"/>
          <w:szCs w:val="24"/>
        </w:rPr>
        <w:t xml:space="preserve">composition of the </w:t>
      </w:r>
      <w:r w:rsidR="00EC1D3C">
        <w:rPr>
          <w:rFonts w:cs="Times New Roman"/>
          <w:szCs w:val="24"/>
        </w:rPr>
        <w:t>research team, research management</w:t>
      </w:r>
      <w:r w:rsidR="004162B5">
        <w:rPr>
          <w:rFonts w:cs="Times New Roman"/>
          <w:szCs w:val="24"/>
        </w:rPr>
        <w:t xml:space="preserve"> practices, and the institutional environment will be </w:t>
      </w:r>
      <w:r w:rsidR="00EC1D3C">
        <w:rPr>
          <w:rFonts w:cs="Times New Roman"/>
          <w:szCs w:val="24"/>
        </w:rPr>
        <w:t>available if enoug</w:t>
      </w:r>
      <w:r w:rsidR="004162B5">
        <w:rPr>
          <w:rFonts w:cs="Times New Roman"/>
          <w:szCs w:val="24"/>
        </w:rPr>
        <w:t>h effort is made to collect it</w:t>
      </w:r>
      <w:r w:rsidR="00EC1D3C">
        <w:rPr>
          <w:rFonts w:cs="Times New Roman"/>
          <w:szCs w:val="24"/>
        </w:rPr>
        <w:t>.</w:t>
      </w:r>
      <w:r w:rsidR="000B7C8A">
        <w:rPr>
          <w:rFonts w:cs="Times New Roman"/>
          <w:szCs w:val="24"/>
        </w:rPr>
        <w:t xml:space="preserve">  The more difficult task</w:t>
      </w:r>
      <w:r w:rsidR="005772FB">
        <w:rPr>
          <w:rFonts w:cs="Times New Roman"/>
          <w:szCs w:val="24"/>
        </w:rPr>
        <w:t xml:space="preserve">, even in disaggregate settings, </w:t>
      </w:r>
      <w:r w:rsidR="000B7C8A">
        <w:rPr>
          <w:rFonts w:cs="Times New Roman"/>
          <w:szCs w:val="24"/>
        </w:rPr>
        <w:t xml:space="preserve">is to characterize and measure research output magnitude </w:t>
      </w:r>
      <w:r w:rsidR="000B7C8A" w:rsidRPr="000B7C8A">
        <w:rPr>
          <w:rFonts w:cs="Times New Roman"/>
          <w:i/>
          <w:szCs w:val="24"/>
        </w:rPr>
        <w:t>K</w:t>
      </w:r>
      <w:r w:rsidR="000B7C8A">
        <w:rPr>
          <w:rFonts w:cs="Times New Roman"/>
          <w:szCs w:val="24"/>
        </w:rPr>
        <w:t xml:space="preserve">. </w:t>
      </w:r>
      <w:r w:rsidR="00EC1D3C">
        <w:rPr>
          <w:rFonts w:cs="Times New Roman"/>
          <w:szCs w:val="24"/>
        </w:rPr>
        <w:t xml:space="preserve"> </w:t>
      </w:r>
      <w:r w:rsidR="004162B5">
        <w:rPr>
          <w:rFonts w:cs="Times New Roman"/>
          <w:szCs w:val="24"/>
        </w:rPr>
        <w:t xml:space="preserve">Output </w:t>
      </w:r>
      <w:r w:rsidR="007669A5">
        <w:rPr>
          <w:rFonts w:cs="Times New Roman"/>
          <w:szCs w:val="24"/>
        </w:rPr>
        <w:t>measurement difficult</w:t>
      </w:r>
      <w:r w:rsidR="00EC1D3C">
        <w:rPr>
          <w:rFonts w:cs="Times New Roman"/>
          <w:szCs w:val="24"/>
        </w:rPr>
        <w:t>ies arise from several sources</w:t>
      </w:r>
      <w:r w:rsidR="007669A5">
        <w:rPr>
          <w:rFonts w:cs="Times New Roman"/>
          <w:szCs w:val="24"/>
        </w:rPr>
        <w:t xml:space="preserve">.  </w:t>
      </w:r>
    </w:p>
    <w:p w:rsidR="00320DB8" w:rsidRDefault="007669A5" w:rsidP="00036A04">
      <w:pPr>
        <w:spacing w:line="480" w:lineRule="auto"/>
        <w:ind w:firstLine="720"/>
      </w:pPr>
      <w:r>
        <w:rPr>
          <w:rFonts w:cs="Times New Roman"/>
          <w:szCs w:val="24"/>
        </w:rPr>
        <w:t xml:space="preserve">First, </w:t>
      </w:r>
      <w:r w:rsidR="004A62D0">
        <w:rPr>
          <w:rFonts w:cs="Times New Roman"/>
          <w:szCs w:val="24"/>
        </w:rPr>
        <w:t xml:space="preserve">an </w:t>
      </w:r>
      <w:r>
        <w:rPr>
          <w:rFonts w:cs="Times New Roman"/>
          <w:szCs w:val="24"/>
        </w:rPr>
        <w:t xml:space="preserve">aquacultural </w:t>
      </w:r>
      <w:r w:rsidR="004A62D0">
        <w:rPr>
          <w:rFonts w:cs="Times New Roman"/>
          <w:szCs w:val="24"/>
        </w:rPr>
        <w:t xml:space="preserve">research </w:t>
      </w:r>
      <w:r>
        <w:rPr>
          <w:rFonts w:cs="Times New Roman"/>
          <w:szCs w:val="24"/>
        </w:rPr>
        <w:t>stud</w:t>
      </w:r>
      <w:r w:rsidR="00EC1D3C">
        <w:rPr>
          <w:rFonts w:cs="Times New Roman"/>
          <w:szCs w:val="24"/>
        </w:rPr>
        <w:t>y</w:t>
      </w:r>
      <w:r>
        <w:rPr>
          <w:rFonts w:cs="Times New Roman"/>
          <w:szCs w:val="24"/>
        </w:rPr>
        <w:t xml:space="preserve"> </w:t>
      </w:r>
      <w:r w:rsidR="004A62D0">
        <w:rPr>
          <w:rFonts w:cs="Times New Roman"/>
          <w:szCs w:val="24"/>
        </w:rPr>
        <w:t xml:space="preserve">typically </w:t>
      </w:r>
      <w:r>
        <w:rPr>
          <w:rFonts w:cs="Times New Roman"/>
          <w:szCs w:val="24"/>
        </w:rPr>
        <w:t>focus</w:t>
      </w:r>
      <w:r w:rsidR="004A62D0">
        <w:rPr>
          <w:rFonts w:cs="Times New Roman"/>
          <w:szCs w:val="24"/>
        </w:rPr>
        <w:t>es</w:t>
      </w:r>
      <w:r w:rsidR="00EC1D3C">
        <w:rPr>
          <w:rFonts w:cs="Times New Roman"/>
          <w:szCs w:val="24"/>
        </w:rPr>
        <w:t xml:space="preserve"> not only on a variety of </w:t>
      </w:r>
      <w:r w:rsidR="003E1645">
        <w:rPr>
          <w:rFonts w:cs="Times New Roman"/>
          <w:szCs w:val="24"/>
        </w:rPr>
        <w:t xml:space="preserve">research </w:t>
      </w:r>
      <w:r w:rsidR="00EC1D3C">
        <w:rPr>
          <w:rFonts w:cs="Times New Roman"/>
          <w:szCs w:val="24"/>
        </w:rPr>
        <w:t>treatments but</w:t>
      </w:r>
      <w:r w:rsidR="004A62D0">
        <w:rPr>
          <w:rFonts w:cs="Times New Roman"/>
          <w:szCs w:val="24"/>
        </w:rPr>
        <w:t xml:space="preserve"> </w:t>
      </w:r>
      <w:r w:rsidR="00EC1D3C" w:rsidRPr="00AF4B35">
        <w:rPr>
          <w:rFonts w:cs="Times New Roman"/>
          <w:szCs w:val="24"/>
        </w:rPr>
        <w:t>o</w:t>
      </w:r>
      <w:r w:rsidR="00FD1D49">
        <w:rPr>
          <w:rFonts w:cs="Times New Roman"/>
          <w:szCs w:val="24"/>
        </w:rPr>
        <w:t>n a variety</w:t>
      </w:r>
      <w:r w:rsidR="00EC1D3C" w:rsidRPr="00AF4B35">
        <w:rPr>
          <w:rFonts w:cs="Times New Roman"/>
          <w:szCs w:val="24"/>
        </w:rPr>
        <w:t xml:space="preserve"> of </w:t>
      </w:r>
      <w:r w:rsidRPr="00AF4B35">
        <w:rPr>
          <w:rFonts w:cs="Times New Roman"/>
          <w:szCs w:val="24"/>
        </w:rPr>
        <w:t>outcomes</w:t>
      </w:r>
      <w:r w:rsidR="003E1645">
        <w:rPr>
          <w:rFonts w:cs="Times New Roman"/>
          <w:szCs w:val="24"/>
        </w:rPr>
        <w:t xml:space="preserve"> per</w:t>
      </w:r>
      <w:r w:rsidR="00EC1D3C">
        <w:rPr>
          <w:rFonts w:cs="Times New Roman"/>
          <w:szCs w:val="24"/>
        </w:rPr>
        <w:t xml:space="preserve"> treatment</w:t>
      </w:r>
      <w:r w:rsidR="004A62D0">
        <w:rPr>
          <w:rFonts w:cs="Times New Roman"/>
          <w:szCs w:val="24"/>
        </w:rPr>
        <w:t xml:space="preserve">.  An examination of alternative fish feed rations, for instance, typically is interested in the </w:t>
      </w:r>
      <w:r w:rsidR="000C2225" w:rsidRPr="002115B7">
        <w:t xml:space="preserve">survival rate, feed conversion, </w:t>
      </w:r>
      <w:r w:rsidR="004A62D0">
        <w:t xml:space="preserve">final body weight, and flesh quality associated with each ration.  </w:t>
      </w:r>
      <w:r w:rsidR="003B0544">
        <w:t>The reason is that a</w:t>
      </w:r>
      <w:r w:rsidR="00FD1D49">
        <w:t>ll such outcome</w:t>
      </w:r>
      <w:r w:rsidR="00E87B99">
        <w:t>s affect profitability</w:t>
      </w:r>
      <w:r w:rsidR="003B0544">
        <w:t xml:space="preserve"> in a separate way.  Yet these outcomes are</w:t>
      </w:r>
      <w:r w:rsidR="003B0544" w:rsidRPr="00AF4B35">
        <w:t xml:space="preserve"> </w:t>
      </w:r>
      <w:r w:rsidR="000C2225" w:rsidRPr="00AF4B35">
        <w:t>incommensurable</w:t>
      </w:r>
      <w:r w:rsidR="000C2225" w:rsidRPr="009D73F9">
        <w:rPr>
          <w:color w:val="C00000"/>
        </w:rPr>
        <w:t xml:space="preserve"> </w:t>
      </w:r>
      <w:r w:rsidR="000C2225" w:rsidRPr="002115B7">
        <w:t xml:space="preserve">with </w:t>
      </w:r>
      <w:r w:rsidR="003B0544">
        <w:t xml:space="preserve">one another unless expressed in </w:t>
      </w:r>
      <w:r w:rsidR="00EC1D3C">
        <w:t xml:space="preserve">terms of their </w:t>
      </w:r>
      <w:r w:rsidR="003B0544">
        <w:t xml:space="preserve">impact on profit, an </w:t>
      </w:r>
      <w:r w:rsidR="003B0544">
        <w:lastRenderedPageBreak/>
        <w:t xml:space="preserve">impact that varies with market </w:t>
      </w:r>
      <w:r w:rsidR="00EC1D3C">
        <w:t>conditions and hence is unknown to the investigator at the time the project is initiated</w:t>
      </w:r>
      <w:r w:rsidR="003B0544">
        <w:t xml:space="preserve">.  Even greater </w:t>
      </w:r>
      <w:r w:rsidR="00FD1D49">
        <w:t xml:space="preserve">outcome </w:t>
      </w:r>
      <w:r w:rsidR="003B0544">
        <w:t>inco</w:t>
      </w:r>
      <w:r w:rsidR="00320DB8">
        <w:t>mmensurability is encountered from one study to another</w:t>
      </w:r>
      <w:r w:rsidR="00FD1D49">
        <w:t>.  For example, one study in our AquaFish</w:t>
      </w:r>
      <w:r w:rsidR="00EC1D3C">
        <w:t xml:space="preserve"> dataset may be seeking to boost</w:t>
      </w:r>
      <w:r w:rsidR="00320DB8">
        <w:t xml:space="preserve"> </w:t>
      </w:r>
      <w:r w:rsidR="00EC1D3C">
        <w:t xml:space="preserve">tilapia </w:t>
      </w:r>
      <w:r w:rsidR="00320DB8">
        <w:t>export</w:t>
      </w:r>
      <w:r w:rsidR="00EC1D3C">
        <w:t>s</w:t>
      </w:r>
      <w:r w:rsidR="00FD1D49">
        <w:t>,</w:t>
      </w:r>
      <w:r w:rsidR="00EC1D3C">
        <w:t xml:space="preserve"> while </w:t>
      </w:r>
      <w:r w:rsidR="00FD1D49">
        <w:t xml:space="preserve">another </w:t>
      </w:r>
      <w:r w:rsidR="00EC1D3C">
        <w:t xml:space="preserve">seeks to improve </w:t>
      </w:r>
      <w:r w:rsidR="00320DB8">
        <w:t>pond water quality</w:t>
      </w:r>
      <w:r w:rsidR="00205090">
        <w:t>.</w:t>
      </w:r>
      <w:r w:rsidR="00320DB8">
        <w:t xml:space="preserve">  </w:t>
      </w:r>
    </w:p>
    <w:p w:rsidR="00320DB8" w:rsidRDefault="00320DB8" w:rsidP="00036A04">
      <w:pPr>
        <w:spacing w:line="480" w:lineRule="auto"/>
        <w:ind w:firstLine="720"/>
      </w:pPr>
      <w:r>
        <w:t xml:space="preserve">Second, </w:t>
      </w:r>
      <w:r w:rsidR="00084381">
        <w:t>an</w:t>
      </w:r>
      <w:r w:rsidR="004C539D">
        <w:t xml:space="preserve"> aquac</w:t>
      </w:r>
      <w:r w:rsidR="00084381">
        <w:t>ultural research study's contribution</w:t>
      </w:r>
      <w:r w:rsidR="004C539D">
        <w:t xml:space="preserve"> </w:t>
      </w:r>
      <w:r w:rsidR="009D73F9">
        <w:t>is information</w:t>
      </w:r>
      <w:r w:rsidR="007D296F">
        <w:t xml:space="preserve"> rather than </w:t>
      </w:r>
      <w:r w:rsidR="004C539D">
        <w:t xml:space="preserve">something tangible like </w:t>
      </w:r>
      <w:r w:rsidR="00084381">
        <w:t xml:space="preserve">per-hectare </w:t>
      </w:r>
      <w:r w:rsidR="007D296F">
        <w:t xml:space="preserve">fish </w:t>
      </w:r>
      <w:r w:rsidR="00791BA1">
        <w:t>yield or pond</w:t>
      </w:r>
      <w:r w:rsidR="004C539D">
        <w:t xml:space="preserve"> oxygen content</w:t>
      </w:r>
      <w:r w:rsidR="007D296F">
        <w:t xml:space="preserve">.  Because information is intangible, we cannot measure its magnitude by counting tons or hectares.  </w:t>
      </w:r>
      <w:r w:rsidR="009D73F9">
        <w:t xml:space="preserve"> </w:t>
      </w:r>
    </w:p>
    <w:p w:rsidR="000857D0" w:rsidRDefault="000857D0" w:rsidP="00036A04">
      <w:pPr>
        <w:spacing w:line="480" w:lineRule="auto"/>
        <w:ind w:firstLine="720"/>
      </w:pPr>
      <w:r>
        <w:t xml:space="preserve">Third, research </w:t>
      </w:r>
      <w:r w:rsidR="00983338">
        <w:t xml:space="preserve">studies in our </w:t>
      </w:r>
      <w:r w:rsidR="004C539D">
        <w:t>dataset</w:t>
      </w:r>
      <w:r w:rsidRPr="002115B7">
        <w:t xml:space="preserve"> frequently</w:t>
      </w:r>
      <w:r w:rsidR="00983338">
        <w:t xml:space="preserve"> will be found to have started</w:t>
      </w:r>
      <w:r w:rsidR="004C539D">
        <w:t xml:space="preserve"> on different dates and </w:t>
      </w:r>
      <w:r w:rsidR="00983338">
        <w:t xml:space="preserve">to have progressed </w:t>
      </w:r>
      <w:r>
        <w:t xml:space="preserve">at different rates.  </w:t>
      </w:r>
      <w:r w:rsidR="00983338">
        <w:t>Our a</w:t>
      </w:r>
      <w:r w:rsidRPr="002115B7">
        <w:t xml:space="preserve">ssessment procedures must </w:t>
      </w:r>
      <w:r>
        <w:t xml:space="preserve">therefore </w:t>
      </w:r>
      <w:r w:rsidRPr="002115B7">
        <w:t>account for differences in the</w:t>
      </w:r>
      <w:r w:rsidR="004C539D">
        <w:t xml:space="preserve"> stages at which a given</w:t>
      </w:r>
      <w:r>
        <w:t xml:space="preserve"> study </w:t>
      </w:r>
      <w:r w:rsidRPr="002115B7">
        <w:t>will be encountere</w:t>
      </w:r>
      <w:r w:rsidR="00983338">
        <w:t>d.  That is possible only if our</w:t>
      </w:r>
      <w:r w:rsidRPr="002115B7">
        <w:t xml:space="preserve"> assessment method is updatable, permitt</w:t>
      </w:r>
      <w:r w:rsidR="004C539D">
        <w:t>ing us to</w:t>
      </w:r>
      <w:r>
        <w:t xml:space="preserve"> </w:t>
      </w:r>
      <w:r w:rsidR="004C539D">
        <w:t xml:space="preserve">evaluate progress </w:t>
      </w:r>
      <w:r w:rsidR="00983338">
        <w:t xml:space="preserve">as a </w:t>
      </w:r>
      <w:r w:rsidRPr="002115B7">
        <w:t>study proceeds</w:t>
      </w:r>
      <w:r w:rsidR="004C539D">
        <w:t xml:space="preserve"> as well as when it is completed</w:t>
      </w:r>
      <w:r w:rsidRPr="002115B7">
        <w:t xml:space="preserve">.  </w:t>
      </w:r>
    </w:p>
    <w:p w:rsidR="004C539D" w:rsidRDefault="000857D0" w:rsidP="00036A04">
      <w:pPr>
        <w:spacing w:line="480" w:lineRule="auto"/>
        <w:ind w:firstLine="720"/>
      </w:pPr>
      <w:r>
        <w:t xml:space="preserve">Fourth, </w:t>
      </w:r>
      <w:r w:rsidRPr="002115B7">
        <w:t>some research projects fail in the sense that the hypothesized improvement – enhanced oyster management practice</w:t>
      </w:r>
      <w:r w:rsidR="00983338">
        <w:t>s</w:t>
      </w:r>
      <w:r w:rsidRPr="002115B7">
        <w:t>, say – does not materialize.  Such failures do not necessarily imply that the study expenditures have been wasted, since the experimental disappointment can be valuable in pointing to more fruitful directions in subsequent research (CGIAR Science Council 2009).</w:t>
      </w:r>
    </w:p>
    <w:p w:rsidR="009D73F9" w:rsidRPr="006E1A41" w:rsidRDefault="004C539D" w:rsidP="00036A04">
      <w:pPr>
        <w:spacing w:after="120" w:line="480" w:lineRule="auto"/>
        <w:ind w:firstLine="720"/>
      </w:pPr>
      <w:r>
        <w:rPr>
          <w:rFonts w:cs="Times New Roman"/>
          <w:szCs w:val="24"/>
        </w:rPr>
        <w:t xml:space="preserve"> </w:t>
      </w:r>
      <w:r w:rsidR="006E1A41">
        <w:t xml:space="preserve">The first or incommensurability problem can be solved by expressing </w:t>
      </w:r>
      <w:r w:rsidR="006E1A41" w:rsidRPr="002115B7">
        <w:t xml:space="preserve">study output units </w:t>
      </w:r>
      <w:r w:rsidR="00FC77F6">
        <w:t>in terms of</w:t>
      </w:r>
      <w:r w:rsidR="006E1A41">
        <w:t xml:space="preserve"> </w:t>
      </w:r>
      <w:r w:rsidR="009D73F9" w:rsidRPr="002115B7">
        <w:t>percentage changes, relative either to the originally ant</w:t>
      </w:r>
      <w:r w:rsidR="006E1A41">
        <w:t xml:space="preserve">icipated improvement, the </w:t>
      </w:r>
      <w:r w:rsidR="00983338">
        <w:t>improvement</w:t>
      </w:r>
      <w:r w:rsidR="00FC77F6">
        <w:t xml:space="preserve"> the study manages to</w:t>
      </w:r>
      <w:r w:rsidR="00983338">
        <w:t xml:space="preserve"> obtain</w:t>
      </w:r>
      <w:r w:rsidR="006E1A41">
        <w:t>, or the outcome levels alrea</w:t>
      </w:r>
      <w:r w:rsidR="00983338">
        <w:t xml:space="preserve">dy achieved before the </w:t>
      </w:r>
      <w:r w:rsidR="006E1A41">
        <w:t>study was inaugurated.  Percentage changes in, say,</w:t>
      </w:r>
      <w:r w:rsidR="009D73F9" w:rsidRPr="002115B7">
        <w:t xml:space="preserve"> </w:t>
      </w:r>
      <w:r w:rsidR="006E1A41">
        <w:t xml:space="preserve">one study's per-hectare </w:t>
      </w:r>
      <w:r w:rsidR="009D73F9" w:rsidRPr="002115B7">
        <w:t>yield</w:t>
      </w:r>
      <w:r w:rsidR="006E1A41">
        <w:t xml:space="preserve">s are directly comparable to percentage changes in another study's water </w:t>
      </w:r>
      <w:r w:rsidR="006E1A41">
        <w:lastRenderedPageBreak/>
        <w:t>quality index</w:t>
      </w:r>
      <w:r w:rsidR="009D73F9">
        <w:t xml:space="preserve">.  </w:t>
      </w:r>
      <w:r w:rsidR="006E1A41">
        <w:t xml:space="preserve">However, such proportional measurement makes </w:t>
      </w:r>
      <w:r w:rsidR="00983338">
        <w:t>no progress in solving the remaining</w:t>
      </w:r>
      <w:r w:rsidR="006E1A41">
        <w:t xml:space="preserve"> three measurement difficulties.</w:t>
      </w:r>
    </w:p>
    <w:p w:rsidR="00A65878" w:rsidRPr="00A65878" w:rsidRDefault="00A65878" w:rsidP="00A455F3">
      <w:pPr>
        <w:spacing w:after="120" w:line="480" w:lineRule="auto"/>
        <w:rPr>
          <w:i/>
        </w:rPr>
      </w:pPr>
      <w:r w:rsidRPr="00A65878">
        <w:rPr>
          <w:i/>
        </w:rPr>
        <w:t>Bayesian Approach to Research Output Measurement</w:t>
      </w:r>
    </w:p>
    <w:p w:rsidR="00F92FA3" w:rsidRDefault="00FC77F6" w:rsidP="00036A04">
      <w:pPr>
        <w:spacing w:line="480" w:lineRule="auto"/>
        <w:ind w:firstLine="720"/>
        <w:rPr>
          <w:rFonts w:cs="Times New Roman"/>
          <w:szCs w:val="24"/>
        </w:rPr>
      </w:pPr>
      <w:r>
        <w:t>An approach that does</w:t>
      </w:r>
      <w:r w:rsidR="00B42E7E">
        <w:t xml:space="preserve"> solve the second through fourth problem</w:t>
      </w:r>
      <w:r>
        <w:t xml:space="preserve"> is </w:t>
      </w:r>
      <w:r w:rsidR="00C126FB">
        <w:t xml:space="preserve">to take advantage of </w:t>
      </w:r>
      <w:r>
        <w:t xml:space="preserve">Bayesian statistics, </w:t>
      </w:r>
      <w:r w:rsidR="00367004" w:rsidRPr="00B02780">
        <w:rPr>
          <w:rFonts w:cs="Times New Roman"/>
          <w:szCs w:val="24"/>
        </w:rPr>
        <w:t xml:space="preserve">which are complementary </w:t>
      </w:r>
      <w:r>
        <w:rPr>
          <w:rFonts w:cs="Times New Roman"/>
          <w:szCs w:val="24"/>
        </w:rPr>
        <w:t>to the classical statistics employed</w:t>
      </w:r>
      <w:r w:rsidR="00367004" w:rsidRPr="00B02780">
        <w:rPr>
          <w:rFonts w:cs="Times New Roman"/>
          <w:szCs w:val="24"/>
        </w:rPr>
        <w:t xml:space="preserve"> in most aquacultural </w:t>
      </w:r>
      <w:r w:rsidR="005F6EF5">
        <w:rPr>
          <w:rFonts w:cs="Times New Roman"/>
          <w:szCs w:val="24"/>
        </w:rPr>
        <w:t>r</w:t>
      </w:r>
      <w:r w:rsidR="00367004" w:rsidRPr="00B02780">
        <w:rPr>
          <w:rFonts w:cs="Times New Roman"/>
          <w:szCs w:val="24"/>
        </w:rPr>
        <w:t>esearch</w:t>
      </w:r>
      <w:r w:rsidR="005F6EF5">
        <w:rPr>
          <w:rFonts w:cs="Times New Roman"/>
          <w:szCs w:val="24"/>
        </w:rPr>
        <w:t xml:space="preserve"> </w:t>
      </w:r>
      <w:r w:rsidR="005F6EF5" w:rsidRPr="002115B7">
        <w:t>(</w:t>
      </w:r>
      <w:r w:rsidR="00103DB6">
        <w:t xml:space="preserve">Robert 2001; </w:t>
      </w:r>
      <w:r w:rsidR="005F6EF5" w:rsidRPr="002115B7">
        <w:t xml:space="preserve">Schimmelpfennig and Norton 2003; </w:t>
      </w:r>
      <w:r w:rsidR="00103DB6">
        <w:t>Carlin and Louis 1996;</w:t>
      </w:r>
      <w:r w:rsidR="00103DB6" w:rsidRPr="00103DB6">
        <w:t xml:space="preserve"> </w:t>
      </w:r>
      <w:r w:rsidR="005F6EF5" w:rsidRPr="002115B7">
        <w:t xml:space="preserve">Press </w:t>
      </w:r>
      <w:r w:rsidR="005F6EF5">
        <w:t xml:space="preserve">1989; </w:t>
      </w:r>
      <w:r w:rsidR="0069735E">
        <w:t>Winkler 1972</w:t>
      </w:r>
      <w:r w:rsidR="005F6EF5">
        <w:t>).</w:t>
      </w:r>
      <w:r w:rsidR="00367004" w:rsidRPr="00B02780">
        <w:rPr>
          <w:rFonts w:cs="Times New Roman"/>
          <w:szCs w:val="24"/>
        </w:rPr>
        <w:t xml:space="preserve">  </w:t>
      </w:r>
      <w:r>
        <w:rPr>
          <w:rFonts w:cs="Times New Roman"/>
          <w:szCs w:val="24"/>
        </w:rPr>
        <w:t xml:space="preserve">In contrast to classical statistics' focus on estimating a population parameter like a water-quality improvement rate, Bayesian statistics concentrates on the </w:t>
      </w:r>
      <w:r w:rsidRPr="00FC77F6">
        <w:rPr>
          <w:rFonts w:cs="Times New Roman"/>
          <w:i/>
          <w:szCs w:val="24"/>
        </w:rPr>
        <w:t>new</w:t>
      </w:r>
      <w:r>
        <w:rPr>
          <w:rFonts w:cs="Times New Roman"/>
          <w:szCs w:val="24"/>
        </w:rPr>
        <w:t xml:space="preserve"> information the water-quality study provides.  </w:t>
      </w:r>
      <w:r w:rsidR="007D1506">
        <w:rPr>
          <w:rFonts w:cs="Times New Roman"/>
          <w:szCs w:val="24"/>
        </w:rPr>
        <w:t>The o</w:t>
      </w:r>
      <w:r>
        <w:rPr>
          <w:rFonts w:cs="Times New Roman"/>
          <w:szCs w:val="24"/>
        </w:rPr>
        <w:t>ld information can be either the results from</w:t>
      </w:r>
      <w:r w:rsidR="00B42E7E">
        <w:rPr>
          <w:rFonts w:cs="Times New Roman"/>
          <w:szCs w:val="24"/>
        </w:rPr>
        <w:t xml:space="preserve"> earlier experiments or surveys</w:t>
      </w:r>
      <w:r>
        <w:rPr>
          <w:rFonts w:cs="Times New Roman"/>
          <w:szCs w:val="24"/>
        </w:rPr>
        <w:t xml:space="preserve"> or the aquaculturalist's</w:t>
      </w:r>
      <w:r w:rsidR="007D1506">
        <w:rPr>
          <w:rFonts w:cs="Times New Roman"/>
          <w:szCs w:val="24"/>
        </w:rPr>
        <w:t xml:space="preserve"> subjective</w:t>
      </w:r>
      <w:r w:rsidR="00B42E7E">
        <w:rPr>
          <w:rFonts w:cs="Times New Roman"/>
          <w:szCs w:val="24"/>
        </w:rPr>
        <w:t>,</w:t>
      </w:r>
      <w:r w:rsidR="007D1506">
        <w:rPr>
          <w:rFonts w:cs="Times New Roman"/>
          <w:szCs w:val="24"/>
        </w:rPr>
        <w:t xml:space="preserve"> pre-experiment </w:t>
      </w:r>
      <w:r>
        <w:rPr>
          <w:rFonts w:cs="Times New Roman"/>
          <w:szCs w:val="24"/>
        </w:rPr>
        <w:t xml:space="preserve">hunches about </w:t>
      </w:r>
      <w:r w:rsidR="007D1506">
        <w:rPr>
          <w:rFonts w:cs="Times New Roman"/>
          <w:szCs w:val="24"/>
        </w:rPr>
        <w:t xml:space="preserve">how the experiment will turn out. </w:t>
      </w:r>
      <w:r>
        <w:rPr>
          <w:rFonts w:cs="Times New Roman"/>
          <w:szCs w:val="24"/>
        </w:rPr>
        <w:t xml:space="preserve"> </w:t>
      </w:r>
    </w:p>
    <w:p w:rsidR="005F0EF4" w:rsidRPr="00BB1F5A" w:rsidRDefault="007D1506" w:rsidP="00036A04">
      <w:pPr>
        <w:spacing w:line="480" w:lineRule="auto"/>
        <w:ind w:firstLine="720"/>
        <w:rPr>
          <w:rFonts w:cs="Times New Roman"/>
          <w:szCs w:val="24"/>
        </w:rPr>
      </w:pPr>
      <w:r>
        <w:rPr>
          <w:rFonts w:cs="Times New Roman"/>
          <w:szCs w:val="24"/>
        </w:rPr>
        <w:t xml:space="preserve">More particularly, </w:t>
      </w:r>
      <w:r w:rsidR="00B42E7E">
        <w:rPr>
          <w:rFonts w:cs="Times New Roman"/>
          <w:szCs w:val="24"/>
        </w:rPr>
        <w:t>the</w:t>
      </w:r>
      <w:r w:rsidR="00B42E7E" w:rsidRPr="00B02780">
        <w:rPr>
          <w:rFonts w:cs="Times New Roman"/>
          <w:szCs w:val="24"/>
        </w:rPr>
        <w:t xml:space="preserve"> Bayesian method </w:t>
      </w:r>
      <w:r w:rsidR="00B42E7E">
        <w:rPr>
          <w:rFonts w:cs="Times New Roman"/>
          <w:szCs w:val="24"/>
        </w:rPr>
        <w:t xml:space="preserve">regards any new information </w:t>
      </w:r>
      <w:r w:rsidR="00367004" w:rsidRPr="00B02780">
        <w:rPr>
          <w:rFonts w:cs="Times New Roman"/>
          <w:szCs w:val="24"/>
        </w:rPr>
        <w:t>as the differen</w:t>
      </w:r>
      <w:r w:rsidR="00B42E7E">
        <w:rPr>
          <w:rFonts w:cs="Times New Roman"/>
          <w:szCs w:val="24"/>
        </w:rPr>
        <w:t xml:space="preserve">ce between the </w:t>
      </w:r>
      <w:r w:rsidR="00367004" w:rsidRPr="00B02780">
        <w:rPr>
          <w:rFonts w:cs="Times New Roman"/>
          <w:szCs w:val="24"/>
        </w:rPr>
        <w:t>study out</w:t>
      </w:r>
      <w:r w:rsidR="00B42E7E">
        <w:rPr>
          <w:rFonts w:cs="Times New Roman"/>
          <w:szCs w:val="24"/>
        </w:rPr>
        <w:t>come</w:t>
      </w:r>
      <w:r>
        <w:rPr>
          <w:rFonts w:cs="Times New Roman"/>
          <w:szCs w:val="24"/>
        </w:rPr>
        <w:t xml:space="preserve"> </w:t>
      </w:r>
      <w:r w:rsidR="00B42E7E">
        <w:rPr>
          <w:rFonts w:cs="Times New Roman"/>
          <w:szCs w:val="24"/>
        </w:rPr>
        <w:t xml:space="preserve">probabilities </w:t>
      </w:r>
      <w:r>
        <w:rPr>
          <w:rFonts w:cs="Times New Roman"/>
          <w:szCs w:val="24"/>
        </w:rPr>
        <w:t>(e.g. fish mortality rate or feed/gain ratio</w:t>
      </w:r>
      <w:r w:rsidR="00367004" w:rsidRPr="00B02780">
        <w:rPr>
          <w:rFonts w:cs="Times New Roman"/>
          <w:szCs w:val="24"/>
        </w:rPr>
        <w:t xml:space="preserve">) </w:t>
      </w:r>
      <w:r w:rsidR="00B42E7E">
        <w:rPr>
          <w:rFonts w:cs="Times New Roman"/>
          <w:szCs w:val="24"/>
        </w:rPr>
        <w:t xml:space="preserve">that </w:t>
      </w:r>
      <w:r w:rsidR="00367004" w:rsidRPr="00B02780">
        <w:rPr>
          <w:rFonts w:cs="Times New Roman"/>
          <w:szCs w:val="24"/>
        </w:rPr>
        <w:t>the researcher had surmised before the study began and the probabilities she encountered</w:t>
      </w:r>
      <w:r w:rsidR="00D60CB9">
        <w:rPr>
          <w:rFonts w:cs="Times New Roman"/>
          <w:szCs w:val="24"/>
        </w:rPr>
        <w:t xml:space="preserve"> during or</w:t>
      </w:r>
      <w:r w:rsidR="00367004" w:rsidRPr="00B02780">
        <w:rPr>
          <w:rFonts w:cs="Times New Roman"/>
          <w:szCs w:val="24"/>
        </w:rPr>
        <w:t xml:space="preserve"> as a r</w:t>
      </w:r>
      <w:r>
        <w:rPr>
          <w:rFonts w:cs="Times New Roman"/>
          <w:szCs w:val="24"/>
        </w:rPr>
        <w:t>esult of the study.</w:t>
      </w:r>
      <w:r w:rsidR="00B42E7E">
        <w:rPr>
          <w:rFonts w:cs="Times New Roman"/>
          <w:szCs w:val="24"/>
        </w:rPr>
        <w:t xml:space="preserve">  Provided those o</w:t>
      </w:r>
      <w:r w:rsidR="00367004" w:rsidRPr="00B02780">
        <w:rPr>
          <w:rFonts w:cs="Times New Roman"/>
          <w:szCs w:val="24"/>
        </w:rPr>
        <w:t>utcomes are expressible in frequency terms, they can never generate less information than what the researcher originally had</w:t>
      </w:r>
      <w:r>
        <w:rPr>
          <w:rFonts w:cs="Times New Roman"/>
          <w:szCs w:val="24"/>
        </w:rPr>
        <w:t xml:space="preserve"> possessed, since the least the new outcomes</w:t>
      </w:r>
      <w:r w:rsidR="00367004" w:rsidRPr="00B02780">
        <w:rPr>
          <w:rFonts w:cs="Times New Roman"/>
          <w:szCs w:val="24"/>
        </w:rPr>
        <w:t xml:space="preserve"> can do is </w:t>
      </w:r>
      <w:r w:rsidR="006B4D8B">
        <w:rPr>
          <w:rFonts w:cs="Times New Roman"/>
          <w:szCs w:val="24"/>
        </w:rPr>
        <w:t xml:space="preserve">to </w:t>
      </w:r>
      <w:r w:rsidR="00367004" w:rsidRPr="00B02780">
        <w:rPr>
          <w:rFonts w:cs="Times New Roman"/>
          <w:szCs w:val="24"/>
        </w:rPr>
        <w:t>exactly confirm the researcher’s prior expectations.</w:t>
      </w:r>
      <w:r>
        <w:rPr>
          <w:rFonts w:cs="Times New Roman"/>
          <w:szCs w:val="24"/>
        </w:rPr>
        <w:t xml:space="preserve"> </w:t>
      </w:r>
      <w:r w:rsidR="00BB1F5A">
        <w:rPr>
          <w:rFonts w:cs="Times New Roman"/>
          <w:szCs w:val="24"/>
        </w:rPr>
        <w:t xml:space="preserve"> </w:t>
      </w:r>
      <w:r w:rsidR="005F0EF4" w:rsidRPr="002115B7">
        <w:t>For example, early success of a proposed new Tilapia seed production method may boost the pond yield rates relative to those farmers presently achieve or to those the investigators had antici</w:t>
      </w:r>
      <w:r w:rsidR="006B4D8B">
        <w:t>pated.  If</w:t>
      </w:r>
      <w:r w:rsidR="00AD5EEF">
        <w:t>,</w:t>
      </w:r>
      <w:r w:rsidR="006B4D8B">
        <w:t xml:space="preserve"> </w:t>
      </w:r>
      <w:r w:rsidR="00AD5EEF">
        <w:t xml:space="preserve">on the other hand, </w:t>
      </w:r>
      <w:r w:rsidR="006B4D8B">
        <w:t xml:space="preserve">the study </w:t>
      </w:r>
      <w:r w:rsidR="00D60CB9">
        <w:t>fails</w:t>
      </w:r>
      <w:r w:rsidR="005F0EF4" w:rsidRPr="002115B7">
        <w:t xml:space="preserve"> to boost yields, its success is reflected instead in the experimental lesson learned, </w:t>
      </w:r>
      <w:r w:rsidR="00AD5EEF">
        <w:t xml:space="preserve">which in </w:t>
      </w:r>
      <w:r w:rsidR="00AD5EEF">
        <w:lastRenderedPageBreak/>
        <w:t xml:space="preserve">turn is </w:t>
      </w:r>
      <w:r w:rsidR="005F0EF4" w:rsidRPr="002115B7">
        <w:t>expressed as the narrowing of the pr</w:t>
      </w:r>
      <w:r w:rsidR="00027866">
        <w:t>obability distribution of possible</w:t>
      </w:r>
      <w:r w:rsidR="005F0EF4" w:rsidRPr="002115B7">
        <w:t xml:space="preserve"> yield </w:t>
      </w:r>
      <w:r w:rsidR="00BB1F5A">
        <w:t>outcomes.</w:t>
      </w:r>
    </w:p>
    <w:p w:rsidR="005F0EF4" w:rsidRPr="002115B7" w:rsidRDefault="005F0EF4" w:rsidP="00036A04">
      <w:pPr>
        <w:spacing w:line="480" w:lineRule="auto"/>
      </w:pPr>
      <w:r w:rsidRPr="002115B7">
        <w:tab/>
        <w:t xml:space="preserve">To summarize the Bayesian approach, let </w:t>
      </w:r>
      <w:r w:rsidRPr="002115B7">
        <w:rPr>
          <w:i/>
        </w:rPr>
        <w:t>Y</w:t>
      </w:r>
      <w:r w:rsidRPr="002115B7">
        <w:t xml:space="preserve"> be the percentage improve</w:t>
      </w:r>
      <w:r w:rsidR="00BB1F5A">
        <w:t xml:space="preserve">ment in a particular study outcome </w:t>
      </w:r>
      <w:r w:rsidRPr="002115B7">
        <w:t xml:space="preserve">such as pond </w:t>
      </w:r>
      <w:r w:rsidR="005A2E2F">
        <w:t xml:space="preserve">water quality.  </w:t>
      </w:r>
      <w:r w:rsidRPr="002115B7">
        <w:t xml:space="preserve">Let </w:t>
      </w:r>
      <w:r w:rsidRPr="002115B7">
        <w:rPr>
          <w:i/>
        </w:rPr>
        <w:t>Z</w:t>
      </w:r>
      <w:r w:rsidRPr="002115B7">
        <w:t xml:space="preserve"> be the performance of the new technology </w:t>
      </w:r>
      <w:r w:rsidR="005A2E2F">
        <w:t>the researchers are examining</w:t>
      </w:r>
      <w:r w:rsidRPr="002115B7">
        <w:t xml:space="preserve"> and which is intended to improve pond water quality.  The </w:t>
      </w:r>
      <w:r w:rsidR="004F071A">
        <w:t xml:space="preserve">probability the investigator </w:t>
      </w:r>
      <w:r w:rsidRPr="002115B7">
        <w:t>initial</w:t>
      </w:r>
      <w:r w:rsidR="004F071A">
        <w:t>ly assigns to</w:t>
      </w:r>
      <w:r w:rsidRPr="002115B7">
        <w:t xml:space="preserve"> </w:t>
      </w:r>
      <w:r w:rsidR="004F071A">
        <w:t xml:space="preserve">a particular level of </w:t>
      </w:r>
      <w:r w:rsidRPr="002115B7">
        <w:t>wat</w:t>
      </w:r>
      <w:r w:rsidR="004F071A">
        <w:t>er-quality improvement</w:t>
      </w:r>
      <w:r w:rsidRPr="002115B7">
        <w:t xml:space="preserve"> is, in light of the study’s current progress, updated as</w:t>
      </w:r>
    </w:p>
    <w:p w:rsidR="005F0EF4" w:rsidRPr="002115B7" w:rsidRDefault="005F0EF4" w:rsidP="00A455F3">
      <w:pPr>
        <w:spacing w:before="240" w:after="240" w:line="480" w:lineRule="auto"/>
      </w:pPr>
      <w:r w:rsidRPr="002115B7">
        <w:t>(</w:t>
      </w:r>
      <w:r w:rsidR="00C76B42">
        <w:t>2</w:t>
      </w:r>
      <w:r w:rsidRPr="002115B7">
        <w:t>)</w:t>
      </w:r>
      <w:r w:rsidRPr="002115B7">
        <w:tab/>
      </w:r>
      <w:r w:rsidRPr="002115B7">
        <w:tab/>
      </w:r>
      <w:r w:rsidRPr="002115B7">
        <w:tab/>
      </w:r>
      <w:r w:rsidR="00B7537B" w:rsidRPr="00B7537B">
        <w:rPr>
          <w:position w:val="-28"/>
        </w:rPr>
        <w:object w:dxaOrig="3440" w:dyaOrig="660">
          <v:shape id="_x0000_i1027" type="#_x0000_t75" style="width:170.25pt;height:30.75pt" o:ole="">
            <v:imagedata r:id="rId15" o:title=""/>
          </v:shape>
          <o:OLEObject Type="Embed" ProgID="Equation.DSMT4" ShapeID="_x0000_i1027" DrawAspect="Content" ObjectID="_1358241468" r:id="rId16"/>
        </w:object>
      </w:r>
    </w:p>
    <w:p w:rsidR="005F0EF4" w:rsidRPr="002115B7" w:rsidRDefault="005F0EF4" w:rsidP="00036A04">
      <w:pPr>
        <w:spacing w:line="480" w:lineRule="auto"/>
      </w:pPr>
      <w:r w:rsidRPr="002115B7">
        <w:t xml:space="preserve">where </w:t>
      </w:r>
      <w:r w:rsidR="005A2E2F" w:rsidRPr="005A2E2F">
        <w:rPr>
          <w:i/>
          <w:position w:val="-10"/>
        </w:rPr>
        <w:object w:dxaOrig="440" w:dyaOrig="320">
          <v:shape id="_x0000_i1028" type="#_x0000_t75" style="width:21.75pt;height:15.75pt" o:ole="">
            <v:imagedata r:id="rId17" o:title=""/>
          </v:shape>
          <o:OLEObject Type="Embed" ProgID="Equation.DSMT4" ShapeID="_x0000_i1028" DrawAspect="Content" ObjectID="_1358241469" r:id="rId18"/>
        </w:object>
      </w:r>
      <w:r w:rsidR="004F071A">
        <w:t xml:space="preserve"> is the probability of the first term in </w:t>
      </w:r>
      <w:r w:rsidR="00AF074E">
        <w:t xml:space="preserve">each </w:t>
      </w:r>
      <w:r w:rsidR="004F071A">
        <w:t xml:space="preserve">parenthesis, and </w:t>
      </w:r>
      <w:r w:rsidR="009F2305" w:rsidRPr="009F2305">
        <w:rPr>
          <w:position w:val="-10"/>
        </w:rPr>
        <w:object w:dxaOrig="100" w:dyaOrig="320">
          <v:shape id="_x0000_i1029" type="#_x0000_t75" style="width:5.25pt;height:15.75pt" o:ole="">
            <v:imagedata r:id="rId19" o:title=""/>
          </v:shape>
          <o:OLEObject Type="Embed" ProgID="Equation.DSMT4" ShapeID="_x0000_i1029" DrawAspect="Content" ObjectID="_1358241470" r:id="rId20"/>
        </w:object>
      </w:r>
      <w:r w:rsidR="009F2305">
        <w:t xml:space="preserve"> indicates </w:t>
      </w:r>
      <w:r w:rsidR="00AF074E">
        <w:t xml:space="preserve">that </w:t>
      </w:r>
      <w:r w:rsidR="009F2305">
        <w:t>the following term is held constant.</w:t>
      </w:r>
      <w:r w:rsidRPr="002115B7">
        <w:t xml:space="preserve">  That is, after the researchers have observed performance </w:t>
      </w:r>
      <w:r w:rsidRPr="002115B7">
        <w:rPr>
          <w:i/>
        </w:rPr>
        <w:t>Z</w:t>
      </w:r>
      <w:r w:rsidR="009F2305">
        <w:t xml:space="preserve"> of the new techno</w:t>
      </w:r>
      <w:r w:rsidR="00AF074E">
        <w:t>logy, the probability of a particular</w:t>
      </w:r>
      <w:r w:rsidRPr="002115B7">
        <w:t xml:space="preserve"> pond im</w:t>
      </w:r>
      <w:r w:rsidR="009F2305">
        <w:t xml:space="preserve">provement </w:t>
      </w:r>
      <w:r w:rsidR="00AF074E">
        <w:t xml:space="preserve">level </w:t>
      </w:r>
      <w:r w:rsidR="009F2305">
        <w:t>equals the probability</w:t>
      </w:r>
      <w:r w:rsidRPr="002115B7">
        <w:t xml:space="preserve"> that experimental outcome </w:t>
      </w:r>
      <w:r w:rsidRPr="002115B7">
        <w:rPr>
          <w:i/>
        </w:rPr>
        <w:t>Z</w:t>
      </w:r>
      <w:r w:rsidR="00AF074E">
        <w:t xml:space="preserve"> will occur given that</w:t>
      </w:r>
      <w:r w:rsidRPr="002115B7">
        <w:t xml:space="preserve"> the new technology </w:t>
      </w:r>
      <w:r w:rsidR="00AF074E">
        <w:t>improves pond quality by a stated</w:t>
      </w:r>
      <w:r w:rsidRPr="002115B7">
        <w:t xml:space="preserve"> amount, times the </w:t>
      </w:r>
      <w:r w:rsidR="009F2305">
        <w:t xml:space="preserve">prior probability of </w:t>
      </w:r>
      <w:r w:rsidRPr="002115B7">
        <w:t>pond</w:t>
      </w:r>
      <w:r w:rsidR="009F2305">
        <w:t xml:space="preserve"> improvement</w:t>
      </w:r>
      <w:r w:rsidRPr="002115B7">
        <w:t xml:space="preserve"> and divided by the </w:t>
      </w:r>
      <w:r w:rsidR="009F2305">
        <w:t xml:space="preserve">prior probability of </w:t>
      </w:r>
      <w:r w:rsidRPr="002115B7">
        <w:t xml:space="preserve">experimental outcome </w:t>
      </w:r>
      <w:r w:rsidRPr="002115B7">
        <w:rPr>
          <w:i/>
        </w:rPr>
        <w:t>Z</w:t>
      </w:r>
      <w:r w:rsidRPr="002115B7">
        <w:t xml:space="preserve">. </w:t>
      </w:r>
    </w:p>
    <w:p w:rsidR="005F0EF4" w:rsidRPr="002115B7" w:rsidRDefault="005A2E2F" w:rsidP="00036A04">
      <w:pPr>
        <w:spacing w:line="480" w:lineRule="auto"/>
        <w:ind w:firstLine="720"/>
      </w:pPr>
      <w:r>
        <w:t>The likelihood that</w:t>
      </w:r>
      <w:r w:rsidR="005F0EF4" w:rsidRPr="002115B7">
        <w:t xml:space="preserve"> experimental outcome </w:t>
      </w:r>
      <w:r w:rsidR="005F0EF4" w:rsidRPr="002115B7">
        <w:rPr>
          <w:i/>
        </w:rPr>
        <w:t>Z</w:t>
      </w:r>
      <w:r w:rsidR="005F0EF4" w:rsidRPr="002115B7">
        <w:t xml:space="preserve"> </w:t>
      </w:r>
      <w:r w:rsidR="00B7537B">
        <w:t xml:space="preserve">will occur </w:t>
      </w:r>
      <w:r w:rsidR="005F0EF4" w:rsidRPr="002115B7">
        <w:t xml:space="preserve">depends </w:t>
      </w:r>
      <w:r w:rsidR="00B7537B" w:rsidRPr="002115B7">
        <w:t xml:space="preserve">in turn </w:t>
      </w:r>
      <w:r w:rsidR="005F0EF4" w:rsidRPr="002115B7">
        <w:t xml:space="preserve">on study expenditures and other inputs </w:t>
      </w:r>
      <w:r w:rsidR="005F0EF4" w:rsidRPr="002115B7">
        <w:rPr>
          <w:b/>
        </w:rPr>
        <w:t>X</w:t>
      </w:r>
      <w:r w:rsidR="00B7537B" w:rsidRPr="00B7537B">
        <w:t xml:space="preserve"> </w:t>
      </w:r>
      <w:r w:rsidR="00B7537B">
        <w:t>such as the investigators’</w:t>
      </w:r>
      <w:r w:rsidR="00B7537B" w:rsidRPr="002115B7">
        <w:t xml:space="preserve"> </w:t>
      </w:r>
      <w:r w:rsidR="00B7537B">
        <w:t>human capital</w:t>
      </w:r>
      <w:r w:rsidR="005F0EF4" w:rsidRPr="002115B7">
        <w:t xml:space="preserve">.  </w:t>
      </w:r>
      <w:r w:rsidR="00426681">
        <w:t>We may represent this dependence</w:t>
      </w:r>
      <w:r w:rsidR="005F0EF4" w:rsidRPr="002115B7">
        <w:t xml:space="preserve"> as </w:t>
      </w:r>
      <w:r w:rsidR="00426681" w:rsidRPr="002115B7">
        <w:rPr>
          <w:position w:val="-10"/>
        </w:rPr>
        <w:object w:dxaOrig="1400" w:dyaOrig="320">
          <v:shape id="_x0000_i1030" type="#_x0000_t75" style="width:69pt;height:15pt" o:ole="">
            <v:imagedata r:id="rId21" o:title=""/>
          </v:shape>
          <o:OLEObject Type="Embed" ProgID="Equation.DSMT4" ShapeID="_x0000_i1030" DrawAspect="Content" ObjectID="_1358241471" r:id="rId22"/>
        </w:object>
      </w:r>
      <w:r w:rsidR="005F0EF4" w:rsidRPr="002115B7">
        <w:t>, where</w:t>
      </w:r>
      <w:r w:rsidR="005F0EF4" w:rsidRPr="002115B7">
        <w:rPr>
          <w:position w:val="-6"/>
        </w:rPr>
        <w:object w:dxaOrig="200" w:dyaOrig="220">
          <v:shape id="_x0000_i1031" type="#_x0000_t75" style="width:9.75pt;height:11.25pt" o:ole="">
            <v:imagedata r:id="rId23" o:title=""/>
          </v:shape>
          <o:OLEObject Type="Embed" ProgID="Equation.DSMT4" ShapeID="_x0000_i1031" DrawAspect="Content" ObjectID="_1358241472" r:id="rId24"/>
        </w:object>
      </w:r>
      <w:r w:rsidR="005F0EF4" w:rsidRPr="002115B7">
        <w:t xml:space="preserve"> are un</w:t>
      </w:r>
      <w:r w:rsidR="00B7537B">
        <w:t xml:space="preserve">anticipated research findings.  </w:t>
      </w:r>
      <w:r w:rsidR="005F0EF4" w:rsidRPr="002115B7">
        <w:t>Furthermore, o</w:t>
      </w:r>
      <w:r w:rsidR="00A92034">
        <w:t xml:space="preserve">nce the experiment is complete, </w:t>
      </w:r>
      <w:r w:rsidR="00A92034" w:rsidRPr="00A92034">
        <w:rPr>
          <w:position w:val="-10"/>
        </w:rPr>
        <w:object w:dxaOrig="560" w:dyaOrig="320">
          <v:shape id="_x0000_i1032" type="#_x0000_t75" style="width:27.75pt;height:15.75pt" o:ole="">
            <v:imagedata r:id="rId25" o:title=""/>
          </v:shape>
          <o:OLEObject Type="Embed" ProgID="Equation.DSMT4" ShapeID="_x0000_i1032" DrawAspect="Content" ObjectID="_1358241473" r:id="rId26"/>
        </w:object>
      </w:r>
      <w:r w:rsidR="005F0EF4" w:rsidRPr="002115B7">
        <w:t xml:space="preserve"> is a known constant.  Combining these two considerations gives, at the end of the experiment, </w:t>
      </w:r>
    </w:p>
    <w:p w:rsidR="005F0EF4" w:rsidRPr="002115B7" w:rsidRDefault="005F0EF4" w:rsidP="00A455F3">
      <w:pPr>
        <w:spacing w:before="240" w:after="240" w:line="480" w:lineRule="auto"/>
        <w:rPr>
          <w:i/>
        </w:rPr>
      </w:pPr>
      <w:r w:rsidRPr="002115B7">
        <w:t xml:space="preserve">  </w:t>
      </w:r>
      <w:r w:rsidR="00C76B42">
        <w:t>(3</w:t>
      </w:r>
      <w:r w:rsidR="00765EBC">
        <w:t>)</w:t>
      </w:r>
      <w:r w:rsidR="00765EBC">
        <w:tab/>
      </w:r>
      <w:r w:rsidR="00765EBC">
        <w:tab/>
        <w:t xml:space="preserve"> </w:t>
      </w:r>
      <w:r w:rsidR="00906177">
        <w:tab/>
      </w:r>
      <w:r w:rsidR="00BE0A14" w:rsidRPr="00765EBC">
        <w:rPr>
          <w:position w:val="-10"/>
        </w:rPr>
        <w:object w:dxaOrig="4180" w:dyaOrig="320">
          <v:shape id="_x0000_i1033" type="#_x0000_t75" style="width:208.5pt;height:15.75pt" o:ole="">
            <v:imagedata r:id="rId27" o:title=""/>
          </v:shape>
          <o:OLEObject Type="Embed" ProgID="Equation.DSMT4" ShapeID="_x0000_i1033" DrawAspect="Content" ObjectID="_1358241474" r:id="rId28"/>
        </w:object>
      </w:r>
    </w:p>
    <w:p w:rsidR="005F6EF5" w:rsidRDefault="005F0EF4" w:rsidP="00036A04">
      <w:pPr>
        <w:spacing w:line="480" w:lineRule="auto"/>
      </w:pPr>
      <w:r w:rsidRPr="002115B7">
        <w:lastRenderedPageBreak/>
        <w:t xml:space="preserve">in which </w:t>
      </w:r>
      <w:r w:rsidRPr="002115B7">
        <w:rPr>
          <w:szCs w:val="24"/>
        </w:rPr>
        <w:sym w:font="Symbol" w:char="F0B5"/>
      </w:r>
      <w:r w:rsidRPr="002115B7">
        <w:t xml:space="preserve"> signifies “is proportionate to.”  That is, the </w:t>
      </w:r>
      <w:r w:rsidR="002A533C">
        <w:t xml:space="preserve">probability of the given pond improvement </w:t>
      </w:r>
      <w:r w:rsidRPr="002115B7">
        <w:t xml:space="preserve">once experimental results have been obtained is proportionate to the </w:t>
      </w:r>
      <w:r w:rsidR="002A533C">
        <w:t xml:space="preserve">probability that </w:t>
      </w:r>
      <w:r w:rsidRPr="002115B7">
        <w:t xml:space="preserve">experimental outcome Z (a function of research inputs </w:t>
      </w:r>
      <w:r w:rsidRPr="002115B7">
        <w:rPr>
          <w:b/>
        </w:rPr>
        <w:t>X)</w:t>
      </w:r>
      <w:r w:rsidR="00BD5F43">
        <w:t xml:space="preserve"> will be obtained assuming</w:t>
      </w:r>
      <w:r w:rsidRPr="002115B7">
        <w:t xml:space="preserve"> the new technology w</w:t>
      </w:r>
      <w:r w:rsidR="00610460">
        <w:t>ill be pond-enhancing at a stated</w:t>
      </w:r>
      <w:r w:rsidRPr="002115B7">
        <w:t xml:space="preserve"> level, times the pond enhancement originally expected.  Expression </w:t>
      </w:r>
      <w:r w:rsidR="00B722B3" w:rsidRPr="002115B7">
        <w:rPr>
          <w:position w:val="-10"/>
        </w:rPr>
        <w:object w:dxaOrig="560" w:dyaOrig="320">
          <v:shape id="_x0000_i1034" type="#_x0000_t75" style="width:29.25pt;height:15pt" o:ole="">
            <v:imagedata r:id="rId29" o:title=""/>
          </v:shape>
          <o:OLEObject Type="Embed" ProgID="Equation.DSMT4" ShapeID="_x0000_i1034" DrawAspect="Content" ObjectID="_1358241475" r:id="rId30"/>
        </w:object>
      </w:r>
      <w:r w:rsidRPr="002115B7">
        <w:t xml:space="preserve"> in equation (2) is the investigator’s prior (ba</w:t>
      </w:r>
      <w:r w:rsidR="00BD5F43">
        <w:t>seline) pond quality probability</w:t>
      </w:r>
      <w:r w:rsidRPr="002115B7">
        <w:t xml:space="preserve">.  </w:t>
      </w:r>
      <w:r w:rsidR="00BD5F43">
        <w:t>I</w:t>
      </w:r>
      <w:r w:rsidR="00BD5F43" w:rsidRPr="002115B7">
        <w:t xml:space="preserve">n contrast, </w:t>
      </w:r>
      <w:r w:rsidR="00A92034" w:rsidRPr="002115B7">
        <w:rPr>
          <w:position w:val="-10"/>
        </w:rPr>
        <w:object w:dxaOrig="1560" w:dyaOrig="320">
          <v:shape id="_x0000_i1035" type="#_x0000_t75" style="width:77.25pt;height:15pt" o:ole="">
            <v:imagedata r:id="rId31" o:title=""/>
          </v:shape>
          <o:OLEObject Type="Embed" ProgID="Equation.DSMT4" ShapeID="_x0000_i1035" DrawAspect="Content" ObjectID="_1358241476" r:id="rId32"/>
        </w:object>
      </w:r>
      <w:r w:rsidRPr="002115B7">
        <w:t xml:space="preserve"> is the posterior improvement expe</w:t>
      </w:r>
      <w:r w:rsidR="00BD5F43">
        <w:t xml:space="preserve">ctation elicited at a midpoint – then at the termination – </w:t>
      </w:r>
      <w:r w:rsidR="00610460">
        <w:t xml:space="preserve">of </w:t>
      </w:r>
      <w:r w:rsidR="00BD5F43">
        <w:t xml:space="preserve">the </w:t>
      </w:r>
      <w:r w:rsidRPr="002115B7">
        <w:t xml:space="preserve">research process, reflecting the intervening experimental or other study results.  </w:t>
      </w:r>
      <w:r w:rsidR="00DB2C76" w:rsidRPr="002115B7">
        <w:t xml:space="preserve">Well-developed methods are available </w:t>
      </w:r>
      <w:r w:rsidR="00DB2C76">
        <w:t xml:space="preserve">for eliciting </w:t>
      </w:r>
      <w:r w:rsidR="00DB2C76" w:rsidRPr="002115B7">
        <w:t xml:space="preserve">the </w:t>
      </w:r>
      <w:r w:rsidR="00DB2C76">
        <w:t xml:space="preserve">prior probabilities </w:t>
      </w:r>
      <w:r w:rsidR="00457C43">
        <w:t xml:space="preserve">(Stael von Holstein 1970).  </w:t>
      </w:r>
      <w:r w:rsidR="00DB2C76">
        <w:t>They</w:t>
      </w:r>
      <w:r w:rsidR="00DB2C76" w:rsidRPr="002115B7">
        <w:t xml:space="preserve"> involve casting the probability questions in the context of the study’s institutional and technical environment</w:t>
      </w:r>
      <w:r w:rsidR="005F6EF5">
        <w:t xml:space="preserve"> and employ the researcher's judgment about the situation at hand, </w:t>
      </w:r>
      <w:r w:rsidR="00610460">
        <w:t xml:space="preserve">a judgment that will partly be </w:t>
      </w:r>
      <w:r w:rsidR="005F6EF5">
        <w:t xml:space="preserve">based on the previous literature.  </w:t>
      </w:r>
      <w:r w:rsidR="00610460">
        <w:t xml:space="preserve"> </w:t>
      </w:r>
    </w:p>
    <w:p w:rsidR="005F6EF5" w:rsidRPr="007F690E" w:rsidRDefault="00BD5F43" w:rsidP="00036A04">
      <w:pPr>
        <w:spacing w:line="480" w:lineRule="auto"/>
      </w:pPr>
      <w:r>
        <w:tab/>
        <w:t>T</w:t>
      </w:r>
      <w:r w:rsidR="00DF1DC4">
        <w:t xml:space="preserve">he value to a decision maker of basing her decisions on </w:t>
      </w:r>
      <w:r w:rsidR="005F6EF5">
        <w:t>the</w:t>
      </w:r>
      <w:r w:rsidR="00230FFC">
        <w:t xml:space="preserve"> </w:t>
      </w:r>
      <w:r w:rsidR="005F6EF5">
        <w:t xml:space="preserve">prior </w:t>
      </w:r>
      <w:r w:rsidR="00230FFC">
        <w:t xml:space="preserve">probability distribution </w:t>
      </w:r>
      <w:r w:rsidR="00230FFC" w:rsidRPr="00230FFC">
        <w:rPr>
          <w:position w:val="-10"/>
        </w:rPr>
        <w:object w:dxaOrig="560" w:dyaOrig="320">
          <v:shape id="_x0000_i1036" type="#_x0000_t75" style="width:27.75pt;height:15.75pt" o:ole="">
            <v:imagedata r:id="rId33" o:title=""/>
          </v:shape>
          <o:OLEObject Type="Embed" ProgID="Equation.DSMT4" ShapeID="_x0000_i1036" DrawAspect="Content" ObjectID="_1358241477" r:id="rId34"/>
        </w:object>
      </w:r>
      <w:r w:rsidR="00DF1DC4">
        <w:t xml:space="preserve">rather than </w:t>
      </w:r>
      <w:r w:rsidR="00D9241D">
        <w:t xml:space="preserve">on </w:t>
      </w:r>
      <w:r w:rsidR="00230FFC">
        <w:t>posterior distribution</w:t>
      </w:r>
      <w:r w:rsidR="005F6EF5">
        <w:t xml:space="preserve"> </w:t>
      </w:r>
      <w:r w:rsidR="00230FFC" w:rsidRPr="00230FFC">
        <w:rPr>
          <w:position w:val="-10"/>
        </w:rPr>
        <w:object w:dxaOrig="999" w:dyaOrig="320">
          <v:shape id="_x0000_i1037" type="#_x0000_t75" style="width:50.25pt;height:15.75pt" o:ole="">
            <v:imagedata r:id="rId35" o:title=""/>
          </v:shape>
          <o:OLEObject Type="Embed" ProgID="Equation.DSMT4" ShapeID="_x0000_i1037" DrawAspect="Content" ObjectID="_1358241478" r:id="rId36"/>
        </w:object>
      </w:r>
      <w:r w:rsidR="001D659F">
        <w:t>, that is</w:t>
      </w:r>
      <w:r w:rsidR="005F6EF5">
        <w:t xml:space="preserve"> the </w:t>
      </w:r>
      <w:r w:rsidR="00DF1DC4">
        <w:t xml:space="preserve">value </w:t>
      </w:r>
      <w:r w:rsidR="00D9241D">
        <w:t xml:space="preserve">the aquacultural study </w:t>
      </w:r>
      <w:r w:rsidR="005F6EF5">
        <w:t>has provided</w:t>
      </w:r>
      <w:r w:rsidR="001D659F">
        <w:t xml:space="preserve"> her</w:t>
      </w:r>
      <w:r w:rsidR="005F6EF5">
        <w:t>, is reflected i</w:t>
      </w:r>
      <w:r w:rsidR="00DF1DC4">
        <w:t xml:space="preserve">n </w:t>
      </w:r>
      <w:r w:rsidR="0084157D">
        <w:t>the “loss”</w:t>
      </w:r>
      <w:r w:rsidR="001D659F">
        <w:t xml:space="preserve"> difference</w:t>
      </w:r>
    </w:p>
    <w:p w:rsidR="005F6EF5" w:rsidRPr="007F690E" w:rsidRDefault="00C76B42" w:rsidP="00A455F3">
      <w:pPr>
        <w:spacing w:before="240" w:after="240" w:line="480" w:lineRule="auto"/>
      </w:pPr>
      <w:r>
        <w:t>(4</w:t>
      </w:r>
      <w:r w:rsidR="00D9241D">
        <w:t>)</w:t>
      </w:r>
      <w:r w:rsidR="00D9241D">
        <w:tab/>
      </w:r>
      <w:r w:rsidR="00D9241D">
        <w:tab/>
      </w:r>
      <w:r w:rsidR="00746F1F">
        <w:tab/>
      </w:r>
      <w:r w:rsidR="00447903" w:rsidRPr="001D659F">
        <w:rPr>
          <w:position w:val="-14"/>
        </w:rPr>
        <w:object w:dxaOrig="4700" w:dyaOrig="400">
          <v:shape id="_x0000_i1038" type="#_x0000_t75" style="width:234.75pt;height:20.25pt" o:ole="">
            <v:imagedata r:id="rId37" o:title=""/>
          </v:shape>
          <o:OLEObject Type="Embed" ProgID="Equation.DSMT4" ShapeID="_x0000_i1038" DrawAspect="Content" ObjectID="_1358241479" r:id="rId38"/>
        </w:object>
      </w:r>
    </w:p>
    <w:p w:rsidR="00B224CC" w:rsidRDefault="007241DF" w:rsidP="00F92FA3">
      <w:pPr>
        <w:spacing w:line="480" w:lineRule="auto"/>
      </w:pPr>
      <w:r>
        <w:t>w</w:t>
      </w:r>
      <w:r w:rsidR="00C32E36">
        <w:t xml:space="preserve">here </w:t>
      </w:r>
      <w:r w:rsidR="00C32E36" w:rsidRPr="00C32E36">
        <w:rPr>
          <w:position w:val="-4"/>
        </w:rPr>
        <w:object w:dxaOrig="260" w:dyaOrig="260">
          <v:shape id="_x0000_i1039" type="#_x0000_t75" style="width:12.75pt;height:12.75pt" o:ole="">
            <v:imagedata r:id="rId39" o:title=""/>
          </v:shape>
          <o:OLEObject Type="Embed" ProgID="Equation.DSMT4" ShapeID="_x0000_i1039" DrawAspect="Content" ObjectID="_1358241480" r:id="rId40"/>
        </w:object>
      </w:r>
      <w:r w:rsidR="00C32E36">
        <w:t xml:space="preserve"> is the prior information available to the decision maker.  This loss</w:t>
      </w:r>
      <w:r w:rsidR="002C4E30">
        <w:t xml:space="preserve"> is the difference between the utility of acting in the absence of the study results and the </w:t>
      </w:r>
      <w:r w:rsidR="0084157D">
        <w:t xml:space="preserve">(higher) </w:t>
      </w:r>
      <w:r w:rsidR="002C4E30">
        <w:t xml:space="preserve">utility of acting after knowing those results.  Thus also, it is the </w:t>
      </w:r>
      <w:r w:rsidR="00801968">
        <w:t>dis</w:t>
      </w:r>
      <w:r w:rsidR="00475F46">
        <w:t>utility a fish farmer</w:t>
      </w:r>
      <w:r w:rsidR="00230FFC">
        <w:t>, buyer,</w:t>
      </w:r>
      <w:r w:rsidR="00475F46">
        <w:t xml:space="preserve"> </w:t>
      </w:r>
      <w:r w:rsidR="002C4E30">
        <w:t xml:space="preserve">supplier, </w:t>
      </w:r>
      <w:r w:rsidR="00801968">
        <w:t xml:space="preserve">or other </w:t>
      </w:r>
      <w:r w:rsidR="002C4E30">
        <w:t xml:space="preserve">interested </w:t>
      </w:r>
      <w:r w:rsidR="00801968">
        <w:t>party suf</w:t>
      </w:r>
      <w:r w:rsidR="007F690E">
        <w:t>fers if deprived of the</w:t>
      </w:r>
      <w:r w:rsidR="00801968">
        <w:t xml:space="preserve"> research study</w:t>
      </w:r>
      <w:r w:rsidR="00475F46">
        <w:t xml:space="preserve">.  </w:t>
      </w:r>
      <w:r w:rsidR="00746F1F">
        <w:t>Function (4) can be s</w:t>
      </w:r>
      <w:r w:rsidR="002C4E30">
        <w:t>pecified in a varie</w:t>
      </w:r>
      <w:r w:rsidR="00746F1F">
        <w:t>ty of functional forms</w:t>
      </w:r>
      <w:r w:rsidR="00C2180D">
        <w:t xml:space="preserve"> (Robert </w:t>
      </w:r>
      <w:r w:rsidR="003556B0">
        <w:t>2001)</w:t>
      </w:r>
      <w:r w:rsidR="00746F1F">
        <w:t>.</w:t>
      </w:r>
    </w:p>
    <w:p w:rsidR="00900511" w:rsidRPr="00AA1D4E" w:rsidRDefault="00DF15DB" w:rsidP="00036A04">
      <w:pPr>
        <w:spacing w:after="240" w:line="480" w:lineRule="auto"/>
        <w:ind w:firstLine="720"/>
      </w:pPr>
      <w:r>
        <w:lastRenderedPageBreak/>
        <w:t>For example suppose an oyster producer</w:t>
      </w:r>
      <w:r w:rsidR="00746F1F">
        <w:t xml:space="preserve">’s decision </w:t>
      </w:r>
      <w:r w:rsidR="00746F1F" w:rsidRPr="00746F1F">
        <w:rPr>
          <w:i/>
        </w:rPr>
        <w:t>d</w:t>
      </w:r>
      <w:r w:rsidR="00746F1F">
        <w:t xml:space="preserve"> is that he</w:t>
      </w:r>
      <w:r>
        <w:t xml:space="preserve"> promises, on the basis of his present management practices </w:t>
      </w:r>
      <w:r w:rsidRPr="00DF15DB">
        <w:rPr>
          <w:b/>
        </w:rPr>
        <w:t>X</w:t>
      </w:r>
      <w:r>
        <w:t xml:space="preserve">, to deliver </w:t>
      </w:r>
      <w:r w:rsidR="00DF1DC4">
        <w:t xml:space="preserve">oysters at a particular </w:t>
      </w:r>
      <w:r w:rsidR="00801968">
        <w:t>quality</w:t>
      </w:r>
      <w:r w:rsidR="0084157D">
        <w:t xml:space="preserve"> grade A</w:t>
      </w:r>
      <w:r>
        <w:t>.  If</w:t>
      </w:r>
      <w:r w:rsidR="004177D9">
        <w:t xml:space="preserve"> he delivers </w:t>
      </w:r>
      <w:r w:rsidR="0046289B">
        <w:t xml:space="preserve">the oysters </w:t>
      </w:r>
      <w:r w:rsidR="004177D9">
        <w:t xml:space="preserve">at </w:t>
      </w:r>
      <w:r>
        <w:t xml:space="preserve">lower </w:t>
      </w:r>
      <w:r w:rsidR="004177D9">
        <w:t xml:space="preserve">than the promised </w:t>
      </w:r>
      <w:r>
        <w:t xml:space="preserve">grade, </w:t>
      </w:r>
      <w:r w:rsidR="004177D9">
        <w:t xml:space="preserve">his quality reputation </w:t>
      </w:r>
      <w:r>
        <w:t>suffers; if at a higher grade, he sells at a price lower than</w:t>
      </w:r>
      <w:r w:rsidR="00767492">
        <w:t xml:space="preserve"> he could have achieved had he predicted the quality more accurately</w:t>
      </w:r>
      <w:r>
        <w:t>.  His profit</w:t>
      </w:r>
      <w:r w:rsidR="00767492">
        <w:t>, that is, r</w:t>
      </w:r>
      <w:r>
        <w:t>ise</w:t>
      </w:r>
      <w:r w:rsidR="004177D9">
        <w:t>s</w:t>
      </w:r>
      <w:r>
        <w:t xml:space="preserve"> with</w:t>
      </w:r>
      <w:r w:rsidR="00801968">
        <w:t xml:space="preserve"> his accuracy in predicting quality</w:t>
      </w:r>
      <w:r w:rsidR="0046289B">
        <w:t xml:space="preserve"> grade.  B</w:t>
      </w:r>
      <w:r w:rsidR="001D73E9">
        <w:t xml:space="preserve">y improving our understanding of the true quality probabilities related to a particular management practice, </w:t>
      </w:r>
      <w:r w:rsidR="003D03FD">
        <w:t xml:space="preserve">oyster management </w:t>
      </w:r>
      <w:r w:rsidR="00801968">
        <w:t xml:space="preserve">research is precisely what </w:t>
      </w:r>
      <w:r w:rsidR="001D73E9">
        <w:t xml:space="preserve">improves such prediction accuracy.  </w:t>
      </w:r>
      <w:r w:rsidR="00767492">
        <w:t xml:space="preserve">The negative of </w:t>
      </w:r>
      <w:r w:rsidR="00900511">
        <w:t>Loss (4</w:t>
      </w:r>
      <w:r>
        <w:t>)</w:t>
      </w:r>
      <w:r w:rsidR="00767492">
        <w:t xml:space="preserve"> </w:t>
      </w:r>
      <w:r w:rsidR="004177D9">
        <w:t xml:space="preserve">thus reflects the value of the oyster </w:t>
      </w:r>
      <w:r w:rsidR="00767492">
        <w:t>study</w:t>
      </w:r>
      <w:r w:rsidR="001D73E9">
        <w:t>'s contribution to the</w:t>
      </w:r>
      <w:r w:rsidR="004177D9">
        <w:t xml:space="preserve"> improvement in prediction</w:t>
      </w:r>
      <w:r w:rsidR="00767492">
        <w:t xml:space="preserve"> accuracy</w:t>
      </w:r>
      <w:r w:rsidR="00767492" w:rsidRPr="00BE0A14">
        <w:rPr>
          <w:color w:val="0000FF"/>
        </w:rPr>
        <w:t xml:space="preserve">. </w:t>
      </w:r>
      <w:r w:rsidRPr="00BE0A14">
        <w:rPr>
          <w:color w:val="0000FF"/>
        </w:rPr>
        <w:t xml:space="preserve"> </w:t>
      </w:r>
      <w:r w:rsidR="00686876" w:rsidRPr="00AA1D4E">
        <w:t>A</w:t>
      </w:r>
      <w:r w:rsidR="004177D9" w:rsidRPr="00AA1D4E">
        <w:t xml:space="preserve"> measure of the </w:t>
      </w:r>
      <w:r w:rsidR="00767492" w:rsidRPr="00AA1D4E">
        <w:t xml:space="preserve">study's </w:t>
      </w:r>
      <w:r w:rsidR="00686876" w:rsidRPr="00AA1D4E">
        <w:t xml:space="preserve">knowledge </w:t>
      </w:r>
      <w:r w:rsidR="00767492" w:rsidRPr="00AA1D4E">
        <w:t>output</w:t>
      </w:r>
      <w:r w:rsidR="00686876" w:rsidRPr="00AA1D4E">
        <w:t xml:space="preserve"> </w:t>
      </w:r>
      <w:r w:rsidR="00686876" w:rsidRPr="00AA1D4E">
        <w:rPr>
          <w:i/>
        </w:rPr>
        <w:t>K</w:t>
      </w:r>
      <w:r w:rsidR="00686876" w:rsidRPr="00AA1D4E">
        <w:t xml:space="preserve"> that solves all four of the research-output measurement difficulties listed above is therefore  </w:t>
      </w:r>
    </w:p>
    <w:p w:rsidR="00900511" w:rsidRPr="00AA1D4E" w:rsidRDefault="00900511" w:rsidP="00F92FA3">
      <w:pPr>
        <w:spacing w:before="120" w:after="120" w:line="480" w:lineRule="auto"/>
      </w:pPr>
      <w:r w:rsidRPr="00AA1D4E">
        <w:t>(5)</w:t>
      </w:r>
      <w:r w:rsidRPr="00AA1D4E">
        <w:tab/>
      </w:r>
      <w:r w:rsidRPr="00AA1D4E">
        <w:tab/>
      </w:r>
      <w:r w:rsidRPr="00AA1D4E">
        <w:tab/>
      </w:r>
      <w:r w:rsidRPr="00AA1D4E">
        <w:tab/>
      </w:r>
      <w:r w:rsidR="000B293C" w:rsidRPr="00AA1D4E">
        <w:rPr>
          <w:position w:val="-10"/>
        </w:rPr>
        <w:object w:dxaOrig="2600" w:dyaOrig="320">
          <v:shape id="_x0000_i1040" type="#_x0000_t75" style="width:130.5pt;height:15.75pt" o:ole="">
            <v:imagedata r:id="rId41" o:title=""/>
          </v:shape>
          <o:OLEObject Type="Embed" ProgID="Equation.DSMT4" ShapeID="_x0000_i1040" DrawAspect="Content" ObjectID="_1358241481" r:id="rId42"/>
        </w:object>
      </w:r>
      <w:r w:rsidR="00686876" w:rsidRPr="00AA1D4E">
        <w:t xml:space="preserve"> </w:t>
      </w:r>
    </w:p>
    <w:p w:rsidR="00767492" w:rsidRPr="00AA1D4E" w:rsidRDefault="00686876" w:rsidP="00036A04">
      <w:pPr>
        <w:spacing w:after="240" w:line="480" w:lineRule="auto"/>
      </w:pPr>
      <w:r w:rsidRPr="00AA1D4E">
        <w:t>the negative of the Bayesian Loss value</w:t>
      </w:r>
      <w:r w:rsidR="00900511" w:rsidRPr="00AA1D4E">
        <w:t xml:space="preserve"> (4)</w:t>
      </w:r>
      <w:r w:rsidRPr="00AA1D4E">
        <w:t>.</w:t>
      </w:r>
      <w:r w:rsidR="00447903" w:rsidRPr="00AA1D4E">
        <w:t xml:space="preserve">  If we consider decision </w:t>
      </w:r>
      <w:r w:rsidR="00447903" w:rsidRPr="00AA1D4E">
        <w:rPr>
          <w:i/>
        </w:rPr>
        <w:t>d</w:t>
      </w:r>
      <w:r w:rsidR="00447903" w:rsidRPr="00AA1D4E">
        <w:t xml:space="preserve"> to be a function of sample information Z itself, and prior information </w:t>
      </w:r>
      <w:r w:rsidR="00447903" w:rsidRPr="00AA1D4E">
        <w:rPr>
          <w:position w:val="-4"/>
        </w:rPr>
        <w:object w:dxaOrig="260" w:dyaOrig="260">
          <v:shape id="_x0000_i1041" type="#_x0000_t75" style="width:12.75pt;height:12.75pt" o:ole="">
            <v:imagedata r:id="rId43" o:title=""/>
          </v:shape>
          <o:OLEObject Type="Embed" ProgID="Equation.DSMT4" ShapeID="_x0000_i1041" DrawAspect="Content" ObjectID="_1358241482" r:id="rId44"/>
        </w:object>
      </w:r>
      <w:r w:rsidR="00447903" w:rsidRPr="00AA1D4E">
        <w:t xml:space="preserve"> to be unobserv</w:t>
      </w:r>
      <w:r w:rsidR="00BE0A14" w:rsidRPr="00AA1D4E">
        <w:t xml:space="preserve">ed error </w:t>
      </w:r>
      <w:r w:rsidR="00BE0A14" w:rsidRPr="00AA1D4E">
        <w:rPr>
          <w:position w:val="-6"/>
        </w:rPr>
        <w:object w:dxaOrig="200" w:dyaOrig="220">
          <v:shape id="_x0000_i1042" type="#_x0000_t75" style="width:9.75pt;height:11.25pt" o:ole="">
            <v:imagedata r:id="rId45" o:title=""/>
          </v:shape>
          <o:OLEObject Type="Embed" ProgID="Equation.DSMT4" ShapeID="_x0000_i1042" DrawAspect="Content" ObjectID="_1358241483" r:id="rId46"/>
        </w:object>
      </w:r>
      <w:r w:rsidR="00447903" w:rsidRPr="00AA1D4E">
        <w:t xml:space="preserve">, </w:t>
      </w:r>
      <w:r w:rsidR="00230330" w:rsidRPr="00AA1D4E">
        <w:t>we get</w:t>
      </w:r>
    </w:p>
    <w:p w:rsidR="00230330" w:rsidRPr="00AA1D4E" w:rsidRDefault="00230330" w:rsidP="00F92FA3">
      <w:pPr>
        <w:spacing w:after="240" w:line="480" w:lineRule="auto"/>
        <w:rPr>
          <w:b/>
        </w:rPr>
      </w:pPr>
      <w:r w:rsidRPr="00AA1D4E">
        <w:t>(6)</w:t>
      </w:r>
      <w:r w:rsidRPr="00AA1D4E">
        <w:tab/>
      </w:r>
      <w:r w:rsidRPr="00AA1D4E">
        <w:rPr>
          <w:b/>
        </w:rPr>
        <w:tab/>
      </w:r>
      <w:r w:rsidRPr="00AA1D4E">
        <w:rPr>
          <w:b/>
          <w:position w:val="-10"/>
        </w:rPr>
        <w:object w:dxaOrig="6080" w:dyaOrig="320">
          <v:shape id="_x0000_i1043" type="#_x0000_t75" style="width:303.75pt;height:15.75pt" o:ole="">
            <v:imagedata r:id="rId47" o:title=""/>
          </v:shape>
          <o:OLEObject Type="Embed" ProgID="Equation.DSMT4" ShapeID="_x0000_i1043" DrawAspect="Content" ObjectID="_1358241484" r:id="rId48"/>
        </w:object>
      </w:r>
    </w:p>
    <w:p w:rsidR="00BE0A14" w:rsidRPr="00AA1D4E" w:rsidRDefault="00BE0A14" w:rsidP="00F92FA3">
      <w:pPr>
        <w:spacing w:after="240" w:line="480" w:lineRule="auto"/>
      </w:pPr>
      <w:r w:rsidRPr="00AA1D4E">
        <w:t>namely, knowledge production function (1).</w:t>
      </w:r>
    </w:p>
    <w:p w:rsidR="00D60CB9" w:rsidRPr="00767492" w:rsidRDefault="00767492" w:rsidP="00F92FA3">
      <w:pPr>
        <w:spacing w:after="240" w:line="480" w:lineRule="auto"/>
        <w:rPr>
          <w:b/>
        </w:rPr>
      </w:pPr>
      <w:r w:rsidRPr="00767492">
        <w:rPr>
          <w:b/>
        </w:rPr>
        <w:t>Char</w:t>
      </w:r>
      <w:r w:rsidR="00806A17">
        <w:rPr>
          <w:b/>
        </w:rPr>
        <w:t xml:space="preserve">acterizing the Knowledge Production </w:t>
      </w:r>
      <w:r w:rsidRPr="00767492">
        <w:rPr>
          <w:b/>
        </w:rPr>
        <w:t>Relationship</w:t>
      </w:r>
      <w:r w:rsidR="005F6EF5" w:rsidRPr="00767492">
        <w:rPr>
          <w:b/>
        </w:rPr>
        <w:t xml:space="preserve"> </w:t>
      </w:r>
    </w:p>
    <w:p w:rsidR="00B44D92" w:rsidRDefault="00D60CB9" w:rsidP="00036A04">
      <w:pPr>
        <w:spacing w:line="480" w:lineRule="auto"/>
        <w:ind w:firstLine="720"/>
      </w:pPr>
      <w:r w:rsidRPr="002115B7">
        <w:t xml:space="preserve">In order to </w:t>
      </w:r>
      <w:r w:rsidR="00806A17">
        <w:t>characterize</w:t>
      </w:r>
      <w:r w:rsidR="00586E5D">
        <w:t xml:space="preserve"> how the magnitude of such new </w:t>
      </w:r>
      <w:r w:rsidR="00E33239">
        <w:t xml:space="preserve">research knowledge </w:t>
      </w:r>
      <w:r w:rsidR="00586E5D">
        <w:t xml:space="preserve">responds </w:t>
      </w:r>
      <w:r w:rsidR="00E33239">
        <w:t xml:space="preserve">to the type and quantity of research inputs, </w:t>
      </w:r>
      <w:r w:rsidR="00586E5D">
        <w:t>namely</w:t>
      </w:r>
      <w:r w:rsidR="00CA0B23">
        <w:t xml:space="preserve"> </w:t>
      </w:r>
      <w:r w:rsidR="00906177">
        <w:t xml:space="preserve">in order </w:t>
      </w:r>
      <w:r w:rsidR="00E33239">
        <w:t xml:space="preserve">to depict relationship </w:t>
      </w:r>
      <w:r w:rsidR="00BE0A14" w:rsidRPr="00CA0B23">
        <w:rPr>
          <w:position w:val="-10"/>
        </w:rPr>
        <w:object w:dxaOrig="560" w:dyaOrig="320">
          <v:shape id="_x0000_i1044" type="#_x0000_t75" style="width:28.5pt;height:15.75pt" o:ole="">
            <v:imagedata r:id="rId49" o:title=""/>
          </v:shape>
          <o:OLEObject Type="Embed" ProgID="Equation.DSMT4" ShapeID="_x0000_i1044" DrawAspect="Content" ObjectID="_1358241485" r:id="rId50"/>
        </w:object>
      </w:r>
      <w:r w:rsidR="00BE0A14" w:rsidRPr="00724E28">
        <w:rPr>
          <w:position w:val="-10"/>
        </w:rPr>
        <w:object w:dxaOrig="1860" w:dyaOrig="320">
          <v:shape id="_x0000_i1045" type="#_x0000_t75" style="width:93pt;height:15.75pt" o:ole="">
            <v:imagedata r:id="rId51" o:title=""/>
          </v:shape>
          <o:OLEObject Type="Embed" ProgID="Equation.DSMT4" ShapeID="_x0000_i1045" DrawAspect="Content" ObjectID="_1358241486" r:id="rId52"/>
        </w:object>
      </w:r>
      <w:r w:rsidR="00CA0B23">
        <w:rPr>
          <w:rFonts w:cs="Times New Roman"/>
          <w:szCs w:val="24"/>
        </w:rPr>
        <w:t xml:space="preserve">, we treat each AquaFish research </w:t>
      </w:r>
      <w:r w:rsidRPr="002115B7">
        <w:t xml:space="preserve">study as a production </w:t>
      </w:r>
      <w:r w:rsidR="00220ECB">
        <w:t xml:space="preserve">unit </w:t>
      </w:r>
      <w:r w:rsidR="00556204">
        <w:lastRenderedPageBreak/>
        <w:t>employing</w:t>
      </w:r>
      <w:r w:rsidR="00C74727">
        <w:t xml:space="preserve"> </w:t>
      </w:r>
      <w:r w:rsidR="003C41B6" w:rsidRPr="002115B7">
        <w:t>research in</w:t>
      </w:r>
      <w:r w:rsidR="003C41B6">
        <w:t>puts</w:t>
      </w:r>
      <w:r w:rsidR="003C41B6" w:rsidRPr="008E7DCD">
        <w:rPr>
          <w:position w:val="-10"/>
        </w:rPr>
        <w:object w:dxaOrig="1400" w:dyaOrig="320">
          <v:shape id="_x0000_i1046" type="#_x0000_t75" style="width:69.75pt;height:15.75pt" o:ole="">
            <v:imagedata r:id="rId53" o:title=""/>
          </v:shape>
          <o:OLEObject Type="Embed" ProgID="Equation.DSMT4" ShapeID="_x0000_i1046" DrawAspect="Content" ObjectID="_1358241487" r:id="rId54"/>
        </w:object>
      </w:r>
      <w:r w:rsidR="003C41B6">
        <w:t xml:space="preserve"> </w:t>
      </w:r>
      <w:r w:rsidR="00556204">
        <w:t xml:space="preserve">-- such </w:t>
      </w:r>
      <w:r w:rsidRPr="001E5160">
        <w:t xml:space="preserve">as money and personnel </w:t>
      </w:r>
      <w:r w:rsidR="00556204">
        <w:t>– to p</w:t>
      </w:r>
      <w:r w:rsidR="00C74727">
        <w:t>roduce knowledge outputs</w:t>
      </w:r>
      <w:r w:rsidR="003C41B6">
        <w:t xml:space="preserve">.  </w:t>
      </w:r>
      <w:r w:rsidR="00586E5D">
        <w:t xml:space="preserve">Most </w:t>
      </w:r>
      <w:r w:rsidR="00220ECB">
        <w:t xml:space="preserve">AquaFish </w:t>
      </w:r>
      <w:r w:rsidR="00586E5D">
        <w:t xml:space="preserve">studies are designed to examine a variety of </w:t>
      </w:r>
      <w:r w:rsidR="00220ECB">
        <w:t>experimental or survey dimensions</w:t>
      </w:r>
      <w:r w:rsidR="00600081">
        <w:t>,</w:t>
      </w:r>
      <w:r w:rsidR="00C52F31">
        <w:t xml:space="preserve"> and </w:t>
      </w:r>
      <w:r w:rsidR="00600081">
        <w:t xml:space="preserve">they </w:t>
      </w:r>
      <w:r w:rsidR="00C52F31">
        <w:t xml:space="preserve">involve a variety of alternative treatments for a given </w:t>
      </w:r>
      <w:r w:rsidR="00DD100B">
        <w:t>dimension</w:t>
      </w:r>
      <w:r w:rsidR="0075282D">
        <w:t>.  For example, a controlled-experiment</w:t>
      </w:r>
      <w:r w:rsidR="00C52F31">
        <w:t xml:space="preserve"> investigation focusing on feed rations can examine both the weight-gain and fish mortality effects of a given ration.  </w:t>
      </w:r>
      <w:r w:rsidR="00600081">
        <w:t>A variety of rations are</w:t>
      </w:r>
      <w:r w:rsidR="0075282D">
        <w:t xml:space="preserve"> examined </w:t>
      </w:r>
      <w:r w:rsidR="00600081">
        <w:t xml:space="preserve">in each study </w:t>
      </w:r>
      <w:r w:rsidR="00220ECB">
        <w:t xml:space="preserve">– each constituting a separate research treatment – for </w:t>
      </w:r>
      <w:r w:rsidR="00C52F31">
        <w:t>their weight-gain and mortality effects</w:t>
      </w:r>
      <w:r w:rsidR="00DD100B">
        <w:t xml:space="preserve">.  </w:t>
      </w:r>
      <w:r w:rsidR="00362E3D">
        <w:t>Considering instead a non-controlled-experiment situation, a</w:t>
      </w:r>
      <w:r w:rsidR="0075282D">
        <w:t xml:space="preserve"> survey investigation focusing on fish export opportunities can examine </w:t>
      </w:r>
      <w:r w:rsidR="00B44D92">
        <w:t xml:space="preserve">a marketing program’s implications for </w:t>
      </w:r>
      <w:r w:rsidR="0075282D">
        <w:t xml:space="preserve">both </w:t>
      </w:r>
      <w:r w:rsidR="00B44D92">
        <w:t>fresh and dried</w:t>
      </w:r>
      <w:r w:rsidR="0075282D">
        <w:t xml:space="preserve"> </w:t>
      </w:r>
      <w:r w:rsidR="00B44D92">
        <w:t>fish.</w:t>
      </w:r>
    </w:p>
    <w:p w:rsidR="00BA349A" w:rsidRDefault="00E5101C" w:rsidP="00036A04">
      <w:pPr>
        <w:spacing w:after="240" w:line="480" w:lineRule="auto"/>
        <w:ind w:firstLine="720"/>
      </w:pPr>
      <w:r>
        <w:t xml:space="preserve"> </w:t>
      </w:r>
      <w:r w:rsidR="00DD100B">
        <w:t xml:space="preserve">If </w:t>
      </w:r>
      <w:r w:rsidR="00B44D92">
        <w:t>the investigator</w:t>
      </w:r>
      <w:r w:rsidR="00B46378">
        <w:t xml:space="preserve"> </w:t>
      </w:r>
      <w:r w:rsidR="00557344">
        <w:t xml:space="preserve">employs </w:t>
      </w:r>
      <w:r w:rsidR="00DD100B" w:rsidRPr="00DD100B">
        <w:rPr>
          <w:i/>
        </w:rPr>
        <w:t xml:space="preserve">m </w:t>
      </w:r>
      <w:r w:rsidR="00DD100B">
        <w:t xml:space="preserve">alternative feed-ration </w:t>
      </w:r>
      <w:r w:rsidR="00B44D92">
        <w:t>o</w:t>
      </w:r>
      <w:r w:rsidR="00362E3D">
        <w:t>r marketing-</w:t>
      </w:r>
      <w:r w:rsidR="00B44D92">
        <w:t xml:space="preserve">program </w:t>
      </w:r>
      <w:r w:rsidR="00DD100B">
        <w:t>treatments</w:t>
      </w:r>
      <w:r w:rsidR="00557344">
        <w:t>, and examines t</w:t>
      </w:r>
      <w:r w:rsidR="00B46378">
        <w:t xml:space="preserve">he implications of each </w:t>
      </w:r>
      <w:r w:rsidR="000504ED">
        <w:t xml:space="preserve">of them for such </w:t>
      </w:r>
      <w:r w:rsidR="00DD100B" w:rsidRPr="00557344">
        <w:rPr>
          <w:i/>
        </w:rPr>
        <w:t>n</w:t>
      </w:r>
      <w:r w:rsidR="00DD100B">
        <w:t xml:space="preserve"> outcome dimensions</w:t>
      </w:r>
      <w:r w:rsidR="00B46378">
        <w:t xml:space="preserve"> </w:t>
      </w:r>
      <w:r w:rsidR="000504ED">
        <w:t xml:space="preserve">as </w:t>
      </w:r>
      <w:r w:rsidR="00B46378">
        <w:t>mortality</w:t>
      </w:r>
      <w:r w:rsidR="000504ED">
        <w:t xml:space="preserve">, weight gain, or dried exports, </w:t>
      </w:r>
      <w:r w:rsidR="00B46378">
        <w:t xml:space="preserve">she </w:t>
      </w:r>
      <w:r w:rsidR="00557344">
        <w:t xml:space="preserve">will </w:t>
      </w:r>
      <w:r w:rsidR="000250CF">
        <w:t xml:space="preserve">generate </w:t>
      </w:r>
      <w:r w:rsidR="00557344" w:rsidRPr="00557344">
        <w:rPr>
          <w:i/>
        </w:rPr>
        <w:t>mn</w:t>
      </w:r>
      <w:r w:rsidR="00557344">
        <w:t xml:space="preserve"> </w:t>
      </w:r>
      <w:r w:rsidR="000250CF">
        <w:t xml:space="preserve">utilities (3), that is </w:t>
      </w:r>
      <w:r w:rsidR="000250CF" w:rsidRPr="00353A39">
        <w:rPr>
          <w:i/>
        </w:rPr>
        <w:t>mn</w:t>
      </w:r>
      <w:r w:rsidR="000250CF">
        <w:t xml:space="preserve"> items of utility-e</w:t>
      </w:r>
      <w:r w:rsidR="001B796F">
        <w:t xml:space="preserve">nhancing </w:t>
      </w:r>
      <w:r w:rsidR="000250CF">
        <w:t>new knowledge</w:t>
      </w:r>
      <w:r w:rsidR="00B46378">
        <w:t xml:space="preserve">.  </w:t>
      </w:r>
      <w:r w:rsidR="00A95EC5">
        <w:t>Because</w:t>
      </w:r>
      <w:r w:rsidR="00353A39">
        <w:t xml:space="preserve"> </w:t>
      </w:r>
      <w:r w:rsidR="00353A39" w:rsidRPr="00353A39">
        <w:rPr>
          <w:i/>
        </w:rPr>
        <w:t>p</w:t>
      </w:r>
      <w:r w:rsidR="00353A39">
        <w:t xml:space="preserve"> </w:t>
      </w:r>
      <w:r w:rsidR="00B46378">
        <w:t xml:space="preserve">AquaFish </w:t>
      </w:r>
      <w:r w:rsidR="00353A39">
        <w:t xml:space="preserve">investigations </w:t>
      </w:r>
      <w:r w:rsidR="00A95EC5">
        <w:t>have been</w:t>
      </w:r>
      <w:r w:rsidR="00353A39">
        <w:t xml:space="preserve"> pursued over </w:t>
      </w:r>
      <w:r w:rsidR="00353A39" w:rsidRPr="00353A39">
        <w:rPr>
          <w:i/>
        </w:rPr>
        <w:t>t</w:t>
      </w:r>
      <w:r w:rsidR="00B46378">
        <w:t xml:space="preserve"> </w:t>
      </w:r>
      <w:r w:rsidR="00A95EC5">
        <w:t>years</w:t>
      </w:r>
      <w:r w:rsidR="00B46378">
        <w:t xml:space="preserve">, we thus </w:t>
      </w:r>
      <w:r w:rsidR="00353A39">
        <w:t xml:space="preserve">have </w:t>
      </w:r>
      <w:r w:rsidR="00353A39" w:rsidRPr="00353A39">
        <w:rPr>
          <w:i/>
        </w:rPr>
        <w:t>N</w:t>
      </w:r>
      <w:r w:rsidR="00353A39">
        <w:t xml:space="preserve"> = </w:t>
      </w:r>
      <w:r w:rsidR="00353A39" w:rsidRPr="00353A39">
        <w:rPr>
          <w:i/>
        </w:rPr>
        <w:t>mnpt</w:t>
      </w:r>
      <w:r w:rsidR="00353A39">
        <w:t xml:space="preserve"> observations for estimating equation (1).  </w:t>
      </w:r>
      <w:r w:rsidR="00D97CB5">
        <w:t xml:space="preserve">The result is to </w:t>
      </w:r>
      <w:r w:rsidR="00B46378">
        <w:t>reveal</w:t>
      </w:r>
      <w:r w:rsidR="00D97CB5">
        <w:t>,</w:t>
      </w:r>
      <w:r w:rsidR="00D60CB9" w:rsidRPr="002115B7">
        <w:t xml:space="preserve"> for </w:t>
      </w:r>
      <w:r w:rsidR="00D97CB5">
        <w:t xml:space="preserve">each of </w:t>
      </w:r>
      <w:r w:rsidR="00B46378">
        <w:t>a group of investigations</w:t>
      </w:r>
      <w:r w:rsidR="00D97CB5">
        <w:t>,</w:t>
      </w:r>
      <w:r w:rsidR="00D60CB9" w:rsidRPr="002115B7">
        <w:t xml:space="preserve"> how much </w:t>
      </w:r>
      <w:r w:rsidR="00A95EC5">
        <w:t>research output</w:t>
      </w:r>
      <w:r w:rsidR="00D60CB9" w:rsidRPr="002115B7">
        <w:t xml:space="preserve"> </w:t>
      </w:r>
      <w:r w:rsidR="008E7DCD" w:rsidRPr="008E7DCD">
        <w:rPr>
          <w:i/>
        </w:rPr>
        <w:t>K</w:t>
      </w:r>
      <w:r w:rsidR="008E7DCD">
        <w:t xml:space="preserve"> </w:t>
      </w:r>
      <w:r w:rsidR="00D60CB9" w:rsidRPr="002115B7">
        <w:t>has b</w:t>
      </w:r>
      <w:r w:rsidR="00D97CB5">
        <w:t xml:space="preserve">een achieved for each given set </w:t>
      </w:r>
      <w:r w:rsidR="00D60CB9" w:rsidRPr="002115B7">
        <w:t xml:space="preserve">of </w:t>
      </w:r>
      <w:r w:rsidR="00D97CB5">
        <w:t>research inputs and</w:t>
      </w:r>
      <w:r w:rsidR="00A95EC5">
        <w:t xml:space="preserve"> e</w:t>
      </w:r>
      <w:r w:rsidR="008F3739">
        <w:t>ach scenario of</w:t>
      </w:r>
      <w:r w:rsidR="00D97CB5">
        <w:t xml:space="preserve"> institutional</w:t>
      </w:r>
      <w:r w:rsidR="009618D2">
        <w:t>, management,</w:t>
      </w:r>
      <w:r w:rsidR="00D97CB5">
        <w:t xml:space="preserve"> and environmental conditions.  </w:t>
      </w:r>
      <w:r w:rsidR="008F3739">
        <w:t xml:space="preserve">Importantly, our method can be used to examine research performance not only at its conclusion, but </w:t>
      </w:r>
      <w:r w:rsidR="00A45B84">
        <w:t>at</w:t>
      </w:r>
      <w:r w:rsidR="00A45B84" w:rsidRPr="002115B7">
        <w:t xml:space="preserve"> </w:t>
      </w:r>
      <w:r w:rsidR="00031C33" w:rsidRPr="002115B7">
        <w:t>ea</w:t>
      </w:r>
      <w:r w:rsidR="008F3739">
        <w:t>rlier project</w:t>
      </w:r>
      <w:r w:rsidR="009618D2">
        <w:t xml:space="preserve"> </w:t>
      </w:r>
      <w:r w:rsidR="00A45B84">
        <w:t>s</w:t>
      </w:r>
      <w:r w:rsidR="008F3739">
        <w:t>tages; that is</w:t>
      </w:r>
      <w:r w:rsidR="00377F11">
        <w:t xml:space="preserve"> </w:t>
      </w:r>
      <w:r w:rsidR="008F3739">
        <w:t>relative not only to other studies but to its</w:t>
      </w:r>
      <w:r w:rsidR="00377F11">
        <w:t xml:space="preserve"> own earlier </w:t>
      </w:r>
      <w:r w:rsidR="00D13C17">
        <w:t>efforts</w:t>
      </w:r>
      <w:r w:rsidR="00377F11">
        <w:t>.</w:t>
      </w:r>
    </w:p>
    <w:p w:rsidR="007241DF" w:rsidRDefault="007241DF">
      <w:pPr>
        <w:rPr>
          <w:b/>
        </w:rPr>
      </w:pPr>
      <w:r>
        <w:rPr>
          <w:b/>
        </w:rPr>
        <w:br w:type="page"/>
      </w:r>
    </w:p>
    <w:p w:rsidR="00377F11" w:rsidRPr="00377F11" w:rsidRDefault="00E31497" w:rsidP="00F92FA3">
      <w:pPr>
        <w:spacing w:after="240" w:line="480" w:lineRule="auto"/>
        <w:rPr>
          <w:b/>
          <w:szCs w:val="24"/>
        </w:rPr>
      </w:pPr>
      <w:r>
        <w:rPr>
          <w:b/>
        </w:rPr>
        <w:lastRenderedPageBreak/>
        <w:t>Research Inputs We Are Examining</w:t>
      </w:r>
    </w:p>
    <w:p w:rsidR="00377F11" w:rsidRDefault="003D5F2D" w:rsidP="00F92FA3">
      <w:pPr>
        <w:spacing w:after="120" w:line="480" w:lineRule="auto"/>
      </w:pPr>
      <w:r>
        <w:tab/>
        <w:t>We examine</w:t>
      </w:r>
      <w:r w:rsidR="00D13C17">
        <w:t xml:space="preserve"> </w:t>
      </w:r>
      <w:r w:rsidR="004D1481">
        <w:t xml:space="preserve">in knowledge production function (1) </w:t>
      </w:r>
      <w:r w:rsidR="00D13C17">
        <w:t>the research impacts of the following study inputs and conditions:</w:t>
      </w:r>
    </w:p>
    <w:p w:rsidR="00C709C2" w:rsidRPr="003D5F2D" w:rsidRDefault="00E006E5" w:rsidP="00036A04">
      <w:pPr>
        <w:spacing w:line="480" w:lineRule="auto"/>
        <w:rPr>
          <w:i/>
          <w:color w:val="000000"/>
          <w:position w:val="-12"/>
        </w:rPr>
      </w:pPr>
      <w:r w:rsidRPr="003D5F2D">
        <w:rPr>
          <w:i/>
          <w:color w:val="000000"/>
          <w:position w:val="-12"/>
        </w:rPr>
        <w:t>E</w:t>
      </w:r>
      <w:r w:rsidR="00C25B40" w:rsidRPr="003D5F2D">
        <w:rPr>
          <w:i/>
          <w:color w:val="000000"/>
          <w:position w:val="-12"/>
        </w:rPr>
        <w:t>xpenditure</w:t>
      </w:r>
      <w:r w:rsidR="003D5F2D">
        <w:rPr>
          <w:i/>
          <w:color w:val="000000"/>
          <w:position w:val="-12"/>
        </w:rPr>
        <w:t>s</w:t>
      </w:r>
      <w:r w:rsidR="0059159B" w:rsidRPr="003D5F2D">
        <w:rPr>
          <w:i/>
          <w:color w:val="000000"/>
          <w:position w:val="-12"/>
        </w:rPr>
        <w:t xml:space="preserve"> (E)</w:t>
      </w:r>
    </w:p>
    <w:p w:rsidR="00C709C2" w:rsidRDefault="00C709C2" w:rsidP="00036A04">
      <w:pPr>
        <w:spacing w:line="480" w:lineRule="auto"/>
        <w:rPr>
          <w:color w:val="000000"/>
          <w:position w:val="-12"/>
        </w:rPr>
      </w:pPr>
      <w:r>
        <w:rPr>
          <w:color w:val="000000"/>
          <w:position w:val="-12"/>
        </w:rPr>
        <w:tab/>
      </w:r>
      <w:r w:rsidR="003D5F2D">
        <w:rPr>
          <w:color w:val="000000"/>
          <w:position w:val="-12"/>
        </w:rPr>
        <w:t xml:space="preserve">At </w:t>
      </w:r>
      <w:r w:rsidR="00822C66">
        <w:rPr>
          <w:color w:val="000000"/>
          <w:position w:val="-12"/>
        </w:rPr>
        <w:t>U.S. Project University</w:t>
      </w:r>
    </w:p>
    <w:p w:rsidR="00C709C2" w:rsidRPr="00C709C2" w:rsidRDefault="00C709C2" w:rsidP="00F92FA3">
      <w:pPr>
        <w:spacing w:after="120" w:line="480" w:lineRule="auto"/>
        <w:rPr>
          <w:color w:val="000000"/>
          <w:position w:val="-12"/>
        </w:rPr>
      </w:pPr>
      <w:r>
        <w:rPr>
          <w:color w:val="000000"/>
          <w:position w:val="-12"/>
        </w:rPr>
        <w:tab/>
      </w:r>
      <w:r w:rsidR="003D5F2D">
        <w:rPr>
          <w:color w:val="000000"/>
          <w:position w:val="-12"/>
        </w:rPr>
        <w:t xml:space="preserve">In </w:t>
      </w:r>
      <w:r>
        <w:rPr>
          <w:color w:val="000000"/>
          <w:position w:val="-12"/>
        </w:rPr>
        <w:t>Host Country</w:t>
      </w:r>
    </w:p>
    <w:p w:rsidR="0059159B" w:rsidRPr="003D5F2D" w:rsidRDefault="0059159B" w:rsidP="00036A04">
      <w:pPr>
        <w:spacing w:line="480" w:lineRule="auto"/>
        <w:rPr>
          <w:i/>
          <w:color w:val="000000"/>
          <w:position w:val="-12"/>
        </w:rPr>
      </w:pPr>
      <w:r w:rsidRPr="003D5F2D">
        <w:rPr>
          <w:i/>
          <w:color w:val="000000"/>
          <w:position w:val="-12"/>
        </w:rPr>
        <w:t>Research Management (M)</w:t>
      </w:r>
    </w:p>
    <w:p w:rsidR="0059159B" w:rsidRDefault="0059159B" w:rsidP="00036A04">
      <w:pPr>
        <w:spacing w:line="480" w:lineRule="auto"/>
        <w:rPr>
          <w:color w:val="000000"/>
          <w:position w:val="-12"/>
        </w:rPr>
      </w:pPr>
      <w:r>
        <w:rPr>
          <w:color w:val="000000"/>
          <w:position w:val="-12"/>
        </w:rPr>
        <w:tab/>
        <w:t xml:space="preserve">Controlled Experiment </w:t>
      </w:r>
      <w:r w:rsidRPr="00C709C2">
        <w:rPr>
          <w:i/>
          <w:color w:val="000000"/>
          <w:position w:val="-12"/>
        </w:rPr>
        <w:t>v</w:t>
      </w:r>
      <w:r w:rsidR="00C709C2" w:rsidRPr="00C709C2">
        <w:rPr>
          <w:i/>
          <w:color w:val="000000"/>
          <w:position w:val="-12"/>
        </w:rPr>
        <w:t>ersus</w:t>
      </w:r>
      <w:r>
        <w:rPr>
          <w:color w:val="000000"/>
          <w:position w:val="-12"/>
        </w:rPr>
        <w:t xml:space="preserve"> Statistical Survey</w:t>
      </w:r>
    </w:p>
    <w:p w:rsidR="0059159B" w:rsidRDefault="0059159B" w:rsidP="00036A04">
      <w:pPr>
        <w:spacing w:line="480" w:lineRule="auto"/>
        <w:ind w:firstLine="720"/>
        <w:rPr>
          <w:color w:val="000000"/>
          <w:position w:val="-12"/>
        </w:rPr>
      </w:pPr>
      <w:r>
        <w:rPr>
          <w:color w:val="000000"/>
          <w:position w:val="-12"/>
        </w:rPr>
        <w:t>Sample Size</w:t>
      </w:r>
    </w:p>
    <w:p w:rsidR="0059159B" w:rsidRDefault="0059159B" w:rsidP="00036A04">
      <w:pPr>
        <w:spacing w:line="480" w:lineRule="auto"/>
        <w:rPr>
          <w:color w:val="000000"/>
          <w:position w:val="-12"/>
        </w:rPr>
      </w:pPr>
    </w:p>
    <w:p w:rsidR="00E006E5" w:rsidRPr="003D5F2D" w:rsidRDefault="00E006E5" w:rsidP="00036A04">
      <w:pPr>
        <w:spacing w:line="480" w:lineRule="auto"/>
        <w:rPr>
          <w:i/>
          <w:color w:val="000000"/>
          <w:position w:val="-12"/>
        </w:rPr>
      </w:pPr>
      <w:r w:rsidRPr="003D5F2D">
        <w:rPr>
          <w:i/>
          <w:color w:val="000000"/>
          <w:position w:val="-12"/>
        </w:rPr>
        <w:t xml:space="preserve">Investigator </w:t>
      </w:r>
      <w:r w:rsidR="0059159B" w:rsidRPr="003D5F2D">
        <w:rPr>
          <w:i/>
          <w:color w:val="000000"/>
          <w:position w:val="-12"/>
        </w:rPr>
        <w:t xml:space="preserve">and Collaborator </w:t>
      </w:r>
      <w:r w:rsidR="004D1481">
        <w:rPr>
          <w:i/>
          <w:color w:val="000000"/>
          <w:position w:val="-12"/>
        </w:rPr>
        <w:t xml:space="preserve">FTE and </w:t>
      </w:r>
      <w:r w:rsidR="00626778" w:rsidRPr="003D5F2D">
        <w:rPr>
          <w:i/>
          <w:color w:val="000000"/>
          <w:position w:val="-12"/>
        </w:rPr>
        <w:t>H</w:t>
      </w:r>
      <w:r w:rsidRPr="003D5F2D">
        <w:rPr>
          <w:i/>
          <w:color w:val="000000"/>
          <w:position w:val="-12"/>
        </w:rPr>
        <w:t xml:space="preserve">uman </w:t>
      </w:r>
      <w:r w:rsidR="00626778" w:rsidRPr="003D5F2D">
        <w:rPr>
          <w:i/>
          <w:color w:val="000000"/>
          <w:position w:val="-12"/>
        </w:rPr>
        <w:t>C</w:t>
      </w:r>
      <w:r w:rsidRPr="003D5F2D">
        <w:rPr>
          <w:i/>
          <w:color w:val="000000"/>
          <w:position w:val="-12"/>
        </w:rPr>
        <w:t xml:space="preserve">apital </w:t>
      </w:r>
      <w:r w:rsidR="0059159B" w:rsidRPr="003D5F2D">
        <w:rPr>
          <w:i/>
          <w:color w:val="000000"/>
          <w:position w:val="-12"/>
        </w:rPr>
        <w:t>(C)</w:t>
      </w:r>
    </w:p>
    <w:p w:rsidR="00C25B40" w:rsidRDefault="006720A9" w:rsidP="00036A04">
      <w:pPr>
        <w:spacing w:line="480" w:lineRule="auto"/>
        <w:ind w:firstLine="720"/>
        <w:rPr>
          <w:color w:val="000000"/>
          <w:position w:val="-12"/>
        </w:rPr>
      </w:pPr>
      <w:r>
        <w:rPr>
          <w:color w:val="000000"/>
          <w:position w:val="-12"/>
        </w:rPr>
        <w:t xml:space="preserve">Scientist and Collaborator </w:t>
      </w:r>
      <w:r w:rsidR="0059159B">
        <w:rPr>
          <w:color w:val="000000"/>
          <w:position w:val="-12"/>
        </w:rPr>
        <w:t>A</w:t>
      </w:r>
      <w:r w:rsidR="00C25B40">
        <w:rPr>
          <w:color w:val="000000"/>
          <w:position w:val="-12"/>
        </w:rPr>
        <w:t>ge</w:t>
      </w:r>
      <w:r w:rsidR="003D5F2D">
        <w:rPr>
          <w:color w:val="000000"/>
          <w:position w:val="-12"/>
        </w:rPr>
        <w:t xml:space="preserve"> Distribution</w:t>
      </w:r>
      <w:r>
        <w:rPr>
          <w:color w:val="000000"/>
          <w:position w:val="-12"/>
        </w:rPr>
        <w:t>s</w:t>
      </w:r>
    </w:p>
    <w:p w:rsidR="00C25B40" w:rsidRDefault="003D5F2D" w:rsidP="00036A04">
      <w:pPr>
        <w:spacing w:line="480" w:lineRule="auto"/>
        <w:ind w:firstLine="720"/>
        <w:rPr>
          <w:color w:val="000000"/>
          <w:position w:val="-12"/>
        </w:rPr>
      </w:pPr>
      <w:r>
        <w:rPr>
          <w:color w:val="000000"/>
          <w:position w:val="-12"/>
        </w:rPr>
        <w:t>Distribution</w:t>
      </w:r>
      <w:r w:rsidR="006720A9">
        <w:rPr>
          <w:color w:val="000000"/>
          <w:position w:val="-12"/>
        </w:rPr>
        <w:t>s</w:t>
      </w:r>
      <w:r>
        <w:rPr>
          <w:color w:val="000000"/>
          <w:position w:val="-12"/>
        </w:rPr>
        <w:t xml:space="preserve"> of </w:t>
      </w:r>
      <w:r w:rsidR="0059159B">
        <w:rPr>
          <w:color w:val="000000"/>
          <w:position w:val="-12"/>
        </w:rPr>
        <w:t>H</w:t>
      </w:r>
      <w:r w:rsidR="00C25B40">
        <w:rPr>
          <w:color w:val="000000"/>
          <w:position w:val="-12"/>
        </w:rPr>
        <w:t>i</w:t>
      </w:r>
      <w:r w:rsidR="0059159B">
        <w:rPr>
          <w:color w:val="000000"/>
          <w:position w:val="-12"/>
        </w:rPr>
        <w:t>ghest D</w:t>
      </w:r>
      <w:r w:rsidR="00C25B40">
        <w:rPr>
          <w:color w:val="000000"/>
          <w:position w:val="-12"/>
        </w:rPr>
        <w:t>egree</w:t>
      </w:r>
      <w:r>
        <w:rPr>
          <w:color w:val="000000"/>
          <w:position w:val="-12"/>
        </w:rPr>
        <w:t>s</w:t>
      </w:r>
    </w:p>
    <w:p w:rsidR="00E006E5" w:rsidRDefault="006720A9" w:rsidP="00036A04">
      <w:pPr>
        <w:spacing w:after="120" w:line="480" w:lineRule="auto"/>
        <w:ind w:firstLine="720"/>
        <w:rPr>
          <w:color w:val="000000"/>
          <w:position w:val="-12"/>
        </w:rPr>
      </w:pPr>
      <w:r>
        <w:rPr>
          <w:color w:val="000000"/>
          <w:position w:val="-12"/>
        </w:rPr>
        <w:t xml:space="preserve">Position </w:t>
      </w:r>
      <w:r w:rsidR="0059159B">
        <w:rPr>
          <w:color w:val="000000"/>
          <w:position w:val="-12"/>
        </w:rPr>
        <w:t>R</w:t>
      </w:r>
      <w:r w:rsidR="00E006E5">
        <w:rPr>
          <w:color w:val="000000"/>
          <w:position w:val="-12"/>
        </w:rPr>
        <w:t>ank</w:t>
      </w:r>
      <w:r w:rsidR="003D5F2D">
        <w:rPr>
          <w:color w:val="000000"/>
          <w:position w:val="-12"/>
        </w:rPr>
        <w:t xml:space="preserve"> Distribution</w:t>
      </w:r>
      <w:r>
        <w:rPr>
          <w:color w:val="000000"/>
          <w:position w:val="-12"/>
        </w:rPr>
        <w:t>s</w:t>
      </w:r>
    </w:p>
    <w:p w:rsidR="0059159B" w:rsidRPr="003D5F2D" w:rsidRDefault="00C709C2" w:rsidP="00036A04">
      <w:pPr>
        <w:spacing w:line="480" w:lineRule="auto"/>
        <w:rPr>
          <w:i/>
        </w:rPr>
      </w:pPr>
      <w:r w:rsidRPr="003D5F2D">
        <w:rPr>
          <w:i/>
        </w:rPr>
        <w:t>I</w:t>
      </w:r>
      <w:r w:rsidR="00840201" w:rsidRPr="003D5F2D">
        <w:rPr>
          <w:rFonts w:cs="Times New Roman"/>
          <w:i/>
          <w:szCs w:val="24"/>
        </w:rPr>
        <w:t>nstitutional and Environmental C</w:t>
      </w:r>
      <w:r w:rsidRPr="003D5F2D">
        <w:rPr>
          <w:rFonts w:cs="Times New Roman"/>
          <w:i/>
          <w:szCs w:val="24"/>
        </w:rPr>
        <w:t>onditions (I</w:t>
      </w:r>
      <w:r w:rsidR="00840201" w:rsidRPr="003D5F2D">
        <w:rPr>
          <w:rFonts w:cs="Times New Roman"/>
          <w:i/>
          <w:szCs w:val="24"/>
        </w:rPr>
        <w:t>)</w:t>
      </w:r>
    </w:p>
    <w:p w:rsidR="00BA349A" w:rsidRDefault="00E006E5" w:rsidP="00036A04">
      <w:pPr>
        <w:spacing w:line="480" w:lineRule="auto"/>
        <w:ind w:firstLine="720"/>
        <w:rPr>
          <w:color w:val="000000"/>
          <w:position w:val="-12"/>
        </w:rPr>
      </w:pPr>
      <w:r>
        <w:t xml:space="preserve"> </w:t>
      </w:r>
      <w:r w:rsidR="00840201">
        <w:rPr>
          <w:color w:val="000000"/>
          <w:position w:val="-12"/>
        </w:rPr>
        <w:t xml:space="preserve">On-Station </w:t>
      </w:r>
      <w:r w:rsidR="00840201" w:rsidRPr="00C709C2">
        <w:rPr>
          <w:i/>
          <w:color w:val="000000"/>
          <w:position w:val="-12"/>
        </w:rPr>
        <w:t>versus</w:t>
      </w:r>
      <w:r w:rsidR="00840201">
        <w:rPr>
          <w:color w:val="000000"/>
          <w:position w:val="-12"/>
        </w:rPr>
        <w:t xml:space="preserve"> Off-Station research</w:t>
      </w:r>
    </w:p>
    <w:p w:rsidR="00840201" w:rsidRPr="00C25B40" w:rsidRDefault="00840201" w:rsidP="00036A04">
      <w:pPr>
        <w:spacing w:line="480" w:lineRule="auto"/>
        <w:ind w:firstLine="720"/>
        <w:rPr>
          <w:szCs w:val="24"/>
        </w:rPr>
      </w:pPr>
      <w:r>
        <w:t>Transportation Modes</w:t>
      </w:r>
    </w:p>
    <w:p w:rsidR="00483EDE" w:rsidRDefault="00840201" w:rsidP="00036A04">
      <w:pPr>
        <w:spacing w:line="480" w:lineRule="auto"/>
        <w:ind w:firstLine="720"/>
      </w:pPr>
      <w:r>
        <w:rPr>
          <w:color w:val="000000"/>
          <w:position w:val="-12"/>
        </w:rPr>
        <w:t>Road C</w:t>
      </w:r>
      <w:r w:rsidR="00483EDE">
        <w:rPr>
          <w:color w:val="000000"/>
          <w:position w:val="-12"/>
        </w:rPr>
        <w:t>onditions</w:t>
      </w:r>
      <w:r>
        <w:rPr>
          <w:color w:val="000000"/>
          <w:position w:val="-12"/>
        </w:rPr>
        <w:t xml:space="preserve"> and Distances</w:t>
      </w:r>
    </w:p>
    <w:p w:rsidR="00840201" w:rsidRDefault="00840201" w:rsidP="00F92FA3">
      <w:pPr>
        <w:spacing w:after="240" w:line="480" w:lineRule="auto"/>
        <w:ind w:firstLine="720"/>
        <w:rPr>
          <w:szCs w:val="24"/>
        </w:rPr>
      </w:pPr>
      <w:r w:rsidRPr="00C25B40">
        <w:rPr>
          <w:szCs w:val="24"/>
        </w:rPr>
        <w:t>Climate</w:t>
      </w:r>
      <w:r>
        <w:rPr>
          <w:szCs w:val="24"/>
        </w:rPr>
        <w:t xml:space="preserve"> and other Environmental Conditions</w:t>
      </w:r>
    </w:p>
    <w:p w:rsidR="00031C33" w:rsidRDefault="004C6969" w:rsidP="00036A04">
      <w:pPr>
        <w:spacing w:after="240" w:line="480" w:lineRule="auto"/>
        <w:ind w:firstLine="720"/>
      </w:pPr>
      <w:r>
        <w:t xml:space="preserve">Knowledge production function (1) </w:t>
      </w:r>
      <w:r w:rsidR="00AA1D4E">
        <w:t>or, equivalently, (6</w:t>
      </w:r>
      <w:r w:rsidR="00C76B42">
        <w:t xml:space="preserve">) </w:t>
      </w:r>
      <w:r>
        <w:t>can be estimated with distance-func</w:t>
      </w:r>
      <w:r w:rsidR="00976033">
        <w:t xml:space="preserve">tion methods (Fare and Primont </w:t>
      </w:r>
      <w:r>
        <w:t xml:space="preserve">1995).  </w:t>
      </w:r>
      <w:r w:rsidR="00931223">
        <w:t>Attention to u</w:t>
      </w:r>
      <w:r w:rsidR="004D1481">
        <w:t xml:space="preserve">nexplained variation </w:t>
      </w:r>
      <w:r w:rsidR="004D1481" w:rsidRPr="004D1481">
        <w:rPr>
          <w:position w:val="-6"/>
        </w:rPr>
        <w:object w:dxaOrig="200" w:dyaOrig="220">
          <v:shape id="_x0000_i1047" type="#_x0000_t75" style="width:9.75pt;height:11.25pt" o:ole="">
            <v:imagedata r:id="rId55" o:title=""/>
          </v:shape>
          <o:OLEObject Type="Embed" ProgID="Equation.DSMT4" ShapeID="_x0000_i1047" DrawAspect="Content" ObjectID="_1358241488" r:id="rId56"/>
        </w:object>
      </w:r>
      <w:r w:rsidR="006720A9">
        <w:t xml:space="preserve"> in equation (1)</w:t>
      </w:r>
      <w:r>
        <w:t xml:space="preserve"> is </w:t>
      </w:r>
      <w:r w:rsidR="00931223">
        <w:t xml:space="preserve">useful.  </w:t>
      </w:r>
      <w:r w:rsidR="003C4280">
        <w:t xml:space="preserve">If we consider </w:t>
      </w:r>
      <w:r w:rsidR="003C4280" w:rsidRPr="003C4280">
        <w:rPr>
          <w:position w:val="-6"/>
        </w:rPr>
        <w:object w:dxaOrig="200" w:dyaOrig="220">
          <v:shape id="_x0000_i1048" type="#_x0000_t75" style="width:9.75pt;height:11.25pt" o:ole="">
            <v:imagedata r:id="rId57" o:title=""/>
          </v:shape>
          <o:OLEObject Type="Embed" ProgID="Equation.DSMT4" ShapeID="_x0000_i1048" DrawAspect="Content" ObjectID="_1358241489" r:id="rId58"/>
        </w:object>
      </w:r>
      <w:r w:rsidR="003C4280">
        <w:t xml:space="preserve"> to be the sum two independent random </w:t>
      </w:r>
      <w:r w:rsidR="003C4280">
        <w:lastRenderedPageBreak/>
        <w:t xml:space="preserve">variables, </w:t>
      </w:r>
      <w:r w:rsidR="003C4280" w:rsidRPr="003C4280">
        <w:rPr>
          <w:position w:val="-10"/>
        </w:rPr>
        <w:object w:dxaOrig="999" w:dyaOrig="279">
          <v:shape id="_x0000_i1049" type="#_x0000_t75" style="width:50.25pt;height:14.25pt" o:ole="">
            <v:imagedata r:id="rId59" o:title=""/>
          </v:shape>
          <o:OLEObject Type="Embed" ProgID="Equation.DSMT4" ShapeID="_x0000_i1049" DrawAspect="Content" ObjectID="_1358241490" r:id="rId60"/>
        </w:object>
      </w:r>
      <w:r w:rsidR="00EA36F1">
        <w:t>, the latter may be used to represent frontier or best-research-practice performance, and the former to represent negativ</w:t>
      </w:r>
      <w:r w:rsidR="006720A9">
        <w:t>e deviations from that</w:t>
      </w:r>
      <w:r w:rsidR="00804301">
        <w:t xml:space="preserve"> frontier.</w:t>
      </w:r>
      <w:r w:rsidR="00EA36F1">
        <w:t xml:space="preserve">  Error </w:t>
      </w:r>
      <w:r w:rsidR="00EA36F1" w:rsidRPr="00EA36F1">
        <w:rPr>
          <w:position w:val="-6"/>
        </w:rPr>
        <w:object w:dxaOrig="200" w:dyaOrig="220">
          <v:shape id="_x0000_i1050" type="#_x0000_t75" style="width:9.75pt;height:11.25pt" o:ole="">
            <v:imagedata r:id="rId61" o:title=""/>
          </v:shape>
          <o:OLEObject Type="Embed" ProgID="Equation.DSMT4" ShapeID="_x0000_i1050" DrawAspect="Content" ObjectID="_1358241491" r:id="rId62"/>
        </w:object>
      </w:r>
      <w:r w:rsidR="00804301">
        <w:t>thus provides</w:t>
      </w:r>
      <w:r w:rsidR="00EA36F1">
        <w:t xml:space="preserve"> the basis for conducting </w:t>
      </w:r>
      <w:r w:rsidR="00D60CB9" w:rsidRPr="002115B7">
        <w:t>cross-study comparisons of the</w:t>
      </w:r>
      <w:r w:rsidR="00D60CB9" w:rsidRPr="00EA36F1">
        <w:t xml:space="preserve"> efficiency</w:t>
      </w:r>
      <w:r w:rsidR="00D60CB9" w:rsidRPr="00031C33">
        <w:rPr>
          <w:color w:val="FF0000"/>
        </w:rPr>
        <w:t xml:space="preserve"> </w:t>
      </w:r>
      <w:r w:rsidR="00D60CB9" w:rsidRPr="002115B7">
        <w:t>with</w:t>
      </w:r>
      <w:r w:rsidR="00EA36F1">
        <w:t xml:space="preserve"> which research resources are</w:t>
      </w:r>
      <w:r w:rsidR="00804301">
        <w:t xml:space="preserve"> used to achieve </w:t>
      </w:r>
      <w:r w:rsidR="00EA36F1">
        <w:t>knowledge</w:t>
      </w:r>
      <w:r w:rsidR="00804301">
        <w:t xml:space="preserve">.  </w:t>
      </w:r>
    </w:p>
    <w:p w:rsidR="006E1A41" w:rsidRDefault="00F37792" w:rsidP="007241DF">
      <w:pPr>
        <w:rPr>
          <w:b/>
        </w:rPr>
      </w:pPr>
      <w:r>
        <w:rPr>
          <w:b/>
        </w:rPr>
        <w:t xml:space="preserve">Utility Computation </w:t>
      </w:r>
      <w:r w:rsidR="006E1A41" w:rsidRPr="006E1A41">
        <w:rPr>
          <w:b/>
        </w:rPr>
        <w:t>Example</w:t>
      </w:r>
    </w:p>
    <w:p w:rsidR="007241DF" w:rsidRPr="006E1A41" w:rsidRDefault="007241DF" w:rsidP="007241DF">
      <w:pPr>
        <w:rPr>
          <w:b/>
        </w:rPr>
      </w:pPr>
    </w:p>
    <w:p w:rsidR="0051548C" w:rsidRPr="002A18BB" w:rsidRDefault="00F37792" w:rsidP="00036A04">
      <w:pPr>
        <w:spacing w:line="480" w:lineRule="auto"/>
        <w:ind w:firstLine="720"/>
      </w:pPr>
      <w:r>
        <w:t xml:space="preserve">An example from </w:t>
      </w:r>
      <w:r w:rsidRPr="002A18BB">
        <w:t>Investigation 07MNE04UM</w:t>
      </w:r>
      <w:r w:rsidR="005D1B8B">
        <w:t>, a University of Michigan AquaFish study conducted in China,</w:t>
      </w:r>
      <w:r w:rsidRPr="002A18BB">
        <w:t xml:space="preserve"> </w:t>
      </w:r>
      <w:r>
        <w:t xml:space="preserve">will illustrate the method we </w:t>
      </w:r>
      <w:r w:rsidR="005164D4">
        <w:t>are using</w:t>
      </w:r>
      <w:r>
        <w:t xml:space="preserve"> to compute an AquaFish study’s knowledge </w:t>
      </w:r>
      <w:r w:rsidR="005164D4">
        <w:t xml:space="preserve">contribution.  The purpose of </w:t>
      </w:r>
      <w:r w:rsidR="005164D4" w:rsidRPr="002A18BB">
        <w:t xml:space="preserve">07MNE04UM </w:t>
      </w:r>
      <w:r w:rsidR="00CD70C1">
        <w:t xml:space="preserve"> is </w:t>
      </w:r>
      <w:r>
        <w:t xml:space="preserve">to </w:t>
      </w:r>
      <w:r w:rsidR="0051548C" w:rsidRPr="002A18BB">
        <w:t>examin</w:t>
      </w:r>
      <w:r>
        <w:t>e</w:t>
      </w:r>
      <w:r w:rsidR="00CD70C1">
        <w:t xml:space="preserve"> </w:t>
      </w:r>
      <w:r w:rsidR="008207EA">
        <w:t xml:space="preserve">ways of reducing </w:t>
      </w:r>
      <w:r w:rsidR="005164D4">
        <w:t xml:space="preserve">effluent and settling-pond </w:t>
      </w:r>
      <w:r w:rsidR="008207EA">
        <w:t>pollution</w:t>
      </w:r>
      <w:r w:rsidR="001E0603">
        <w:t xml:space="preserve"> from Chinese shrimp production</w:t>
      </w:r>
      <w:r w:rsidR="00512628">
        <w:t xml:space="preserve">.  </w:t>
      </w:r>
      <w:r w:rsidR="00894FF1">
        <w:t>F</w:t>
      </w:r>
      <w:r w:rsidR="00512628">
        <w:t xml:space="preserve">ish yield is compared </w:t>
      </w:r>
      <w:r w:rsidR="00894FF1">
        <w:t xml:space="preserve">in that study </w:t>
      </w:r>
      <w:r w:rsidR="00512628">
        <w:t>with w</w:t>
      </w:r>
      <w:r w:rsidR="0051548C" w:rsidRPr="002A18BB">
        <w:t>at</w:t>
      </w:r>
      <w:r w:rsidR="00512628">
        <w:t xml:space="preserve">er quality as measured by </w:t>
      </w:r>
      <w:r w:rsidR="00894FF1">
        <w:t>settling-</w:t>
      </w:r>
      <w:r w:rsidR="00512628">
        <w:t xml:space="preserve">pond chemical content.  </w:t>
      </w:r>
      <w:r w:rsidR="007336C9">
        <w:t>Statistical-survey rather than e</w:t>
      </w:r>
      <w:r w:rsidR="00894FF1">
        <w:t>xperimental-control methods are</w:t>
      </w:r>
      <w:r w:rsidR="007336C9">
        <w:t xml:space="preserve"> used.  </w:t>
      </w:r>
      <w:r w:rsidR="00894FF1">
        <w:t>Relevant data in one of its treatments are</w:t>
      </w:r>
      <w:r w:rsidR="0051548C" w:rsidRPr="002A18BB">
        <w:t>:</w:t>
      </w:r>
    </w:p>
    <w:p w:rsidR="0051548C" w:rsidRPr="002A18BB" w:rsidRDefault="0051548C" w:rsidP="0051548C">
      <w:pPr>
        <w:jc w:val="center"/>
      </w:pPr>
    </w:p>
    <w:tbl>
      <w:tblPr>
        <w:tblStyle w:val="TableGrid"/>
        <w:tblW w:w="0" w:type="auto"/>
        <w:tblLook w:val="00BF" w:firstRow="1" w:lastRow="0" w:firstColumn="1" w:lastColumn="0" w:noHBand="0" w:noVBand="0"/>
      </w:tblPr>
      <w:tblGrid>
        <w:gridCol w:w="1951"/>
        <w:gridCol w:w="2058"/>
        <w:gridCol w:w="2007"/>
        <w:gridCol w:w="1618"/>
        <w:gridCol w:w="1222"/>
      </w:tblGrid>
      <w:tr w:rsidR="0051548C" w:rsidRPr="002A18BB" w:rsidTr="003B0544">
        <w:tc>
          <w:tcPr>
            <w:tcW w:w="1951" w:type="dxa"/>
            <w:tcBorders>
              <w:bottom w:val="single" w:sz="4" w:space="0" w:color="auto"/>
            </w:tcBorders>
            <w:vAlign w:val="center"/>
          </w:tcPr>
          <w:p w:rsidR="0051548C" w:rsidRPr="002A18BB" w:rsidRDefault="00362730" w:rsidP="003B0544">
            <w:pPr>
              <w:jc w:val="center"/>
              <w:rPr>
                <w:rFonts w:ascii="Times New Roman" w:eastAsia="GB18030 Bitmap" w:hAnsi="Times New Roman"/>
              </w:rPr>
            </w:pPr>
            <w:r>
              <w:rPr>
                <w:rFonts w:ascii="Times New Roman" w:eastAsia="GB18030 Bitmap" w:hAnsi="Times New Roman"/>
              </w:rPr>
              <w:t>Outcome</w:t>
            </w:r>
          </w:p>
        </w:tc>
        <w:tc>
          <w:tcPr>
            <w:tcW w:w="2058" w:type="dxa"/>
            <w:tcBorders>
              <w:bottom w:val="single" w:sz="4" w:space="0" w:color="auto"/>
            </w:tcBorders>
            <w:vAlign w:val="center"/>
          </w:tcPr>
          <w:p w:rsidR="0051548C" w:rsidRPr="002A18BB" w:rsidRDefault="00362730" w:rsidP="003B0544">
            <w:pPr>
              <w:jc w:val="center"/>
              <w:rPr>
                <w:rFonts w:ascii="Times New Roman" w:eastAsia="GB18030 Bitmap" w:hAnsi="Times New Roman"/>
              </w:rPr>
            </w:pPr>
            <w:r>
              <w:rPr>
                <w:rFonts w:ascii="Times New Roman" w:eastAsia="GB18030 Bitmap" w:hAnsi="Times New Roman"/>
              </w:rPr>
              <w:t>Level</w:t>
            </w:r>
          </w:p>
        </w:tc>
        <w:tc>
          <w:tcPr>
            <w:tcW w:w="2007" w:type="dxa"/>
            <w:vAlign w:val="center"/>
          </w:tcPr>
          <w:p w:rsidR="0051548C" w:rsidRPr="002A18BB" w:rsidRDefault="0051548C" w:rsidP="003B0544">
            <w:pPr>
              <w:jc w:val="center"/>
              <w:rPr>
                <w:rFonts w:ascii="Times New Roman" w:eastAsia="GB18030 Bitmap" w:hAnsi="Times New Roman"/>
              </w:rPr>
            </w:pPr>
            <w:r w:rsidRPr="002A18BB">
              <w:rPr>
                <w:rFonts w:ascii="Times New Roman" w:eastAsia="GB18030 Bitmap" w:hAnsi="Times New Roman"/>
              </w:rPr>
              <w:t>Prior probability</w:t>
            </w:r>
          </w:p>
        </w:tc>
        <w:tc>
          <w:tcPr>
            <w:tcW w:w="1618" w:type="dxa"/>
            <w:tcBorders>
              <w:right w:val="single" w:sz="4" w:space="0" w:color="auto"/>
            </w:tcBorders>
            <w:vAlign w:val="center"/>
          </w:tcPr>
          <w:p w:rsidR="0051548C" w:rsidRPr="002A18BB" w:rsidRDefault="0051548C" w:rsidP="003B0544">
            <w:pPr>
              <w:jc w:val="center"/>
              <w:rPr>
                <w:rFonts w:ascii="Times New Roman" w:eastAsia="GB18030 Bitmap" w:hAnsi="Times New Roman"/>
              </w:rPr>
            </w:pPr>
            <w:r w:rsidRPr="002A18BB">
              <w:rPr>
                <w:rFonts w:ascii="Times New Roman" w:eastAsia="GB18030 Bitmap" w:hAnsi="Times New Roman"/>
              </w:rPr>
              <w:t>Posterior mean</w:t>
            </w:r>
          </w:p>
        </w:tc>
        <w:tc>
          <w:tcPr>
            <w:tcW w:w="1222" w:type="dxa"/>
            <w:tcBorders>
              <w:left w:val="single" w:sz="4" w:space="0" w:color="auto"/>
            </w:tcBorders>
            <w:vAlign w:val="center"/>
          </w:tcPr>
          <w:p w:rsidR="0051548C" w:rsidRPr="002A18BB" w:rsidRDefault="0051548C" w:rsidP="003B0544">
            <w:pPr>
              <w:jc w:val="center"/>
              <w:rPr>
                <w:rFonts w:ascii="Times New Roman" w:eastAsia="GB18030 Bitmap" w:hAnsi="Times New Roman"/>
              </w:rPr>
            </w:pPr>
            <w:r w:rsidRPr="002A18BB">
              <w:rPr>
                <w:rFonts w:ascii="Times New Roman" w:eastAsia="GB18030 Bitmap" w:hAnsi="Times New Roman"/>
              </w:rPr>
              <w:t>Posterior standard deviation</w:t>
            </w:r>
          </w:p>
        </w:tc>
      </w:tr>
      <w:tr w:rsidR="0051548C" w:rsidRPr="002A18BB" w:rsidTr="003B0544">
        <w:trPr>
          <w:trHeight w:val="291"/>
        </w:trPr>
        <w:tc>
          <w:tcPr>
            <w:tcW w:w="1951" w:type="dxa"/>
            <w:vMerge w:val="restart"/>
          </w:tcPr>
          <w:p w:rsidR="0051548C" w:rsidRPr="002A18BB" w:rsidRDefault="00512628" w:rsidP="003B0544">
            <w:pPr>
              <w:jc w:val="center"/>
              <w:rPr>
                <w:rFonts w:ascii="Times New Roman" w:eastAsia="GB18030 Bitmap" w:hAnsi="Times New Roman"/>
              </w:rPr>
            </w:pPr>
            <w:r>
              <w:rPr>
                <w:rFonts w:ascii="Times New Roman" w:eastAsia="GB18030 Bitmap" w:hAnsi="Times New Roman"/>
              </w:rPr>
              <w:t>Fish</w:t>
            </w:r>
            <w:r w:rsidR="0051548C" w:rsidRPr="002A18BB">
              <w:rPr>
                <w:rFonts w:ascii="Times New Roman" w:eastAsia="GB18030 Bitmap" w:hAnsi="Times New Roman"/>
              </w:rPr>
              <w:t xml:space="preserve"> yield (kg/ha)</w:t>
            </w:r>
          </w:p>
        </w:tc>
        <w:tc>
          <w:tcPr>
            <w:tcW w:w="2058" w:type="dxa"/>
            <w:tcBorders>
              <w:bottom w:val="single" w:sz="4" w:space="0" w:color="auto"/>
            </w:tcBorders>
          </w:tcPr>
          <w:p w:rsidR="0051548C" w:rsidRPr="002A18BB" w:rsidRDefault="0051548C" w:rsidP="003B0544">
            <w:pPr>
              <w:jc w:val="center"/>
              <w:rPr>
                <w:rFonts w:ascii="Times New Roman" w:eastAsia="GB18030 Bitmap" w:hAnsi="Times New Roman"/>
              </w:rPr>
            </w:pPr>
            <w:r w:rsidRPr="002A18BB">
              <w:rPr>
                <w:rFonts w:ascii="Times New Roman" w:eastAsia="GB18030 Bitmap" w:hAnsi="Times New Roman"/>
              </w:rPr>
              <w:t>Low         7000</w:t>
            </w:r>
          </w:p>
        </w:tc>
        <w:tc>
          <w:tcPr>
            <w:tcW w:w="2007" w:type="dxa"/>
            <w:tcBorders>
              <w:bottom w:val="single" w:sz="4" w:space="0" w:color="auto"/>
            </w:tcBorders>
          </w:tcPr>
          <w:p w:rsidR="0051548C" w:rsidRPr="002A18BB" w:rsidRDefault="0051548C" w:rsidP="003B0544">
            <w:pPr>
              <w:jc w:val="center"/>
              <w:rPr>
                <w:rFonts w:ascii="Times New Roman" w:eastAsia="GB18030 Bitmap" w:hAnsi="Times New Roman"/>
              </w:rPr>
            </w:pPr>
            <w:r w:rsidRPr="002A18BB">
              <w:rPr>
                <w:rFonts w:ascii="Times New Roman" w:eastAsia="GB18030 Bitmap" w:hAnsi="Times New Roman"/>
              </w:rPr>
              <w:t>0.10</w:t>
            </w:r>
          </w:p>
        </w:tc>
        <w:tc>
          <w:tcPr>
            <w:tcW w:w="1618" w:type="dxa"/>
            <w:vMerge w:val="restart"/>
            <w:tcBorders>
              <w:right w:val="single" w:sz="4" w:space="0" w:color="auto"/>
            </w:tcBorders>
            <w:vAlign w:val="center"/>
          </w:tcPr>
          <w:p w:rsidR="0051548C" w:rsidRPr="002A18BB" w:rsidRDefault="0051548C" w:rsidP="003B0544">
            <w:pPr>
              <w:jc w:val="center"/>
              <w:rPr>
                <w:rFonts w:ascii="Times New Roman" w:eastAsia="GB18030 Bitmap" w:hAnsi="Times New Roman"/>
              </w:rPr>
            </w:pPr>
            <w:r w:rsidRPr="002A18BB">
              <w:rPr>
                <w:rFonts w:ascii="Times New Roman" w:eastAsia="GB18030 Bitmap" w:hAnsi="Times New Roman"/>
              </w:rPr>
              <w:t>8255.06</w:t>
            </w:r>
          </w:p>
        </w:tc>
        <w:tc>
          <w:tcPr>
            <w:tcW w:w="1222" w:type="dxa"/>
            <w:vMerge w:val="restart"/>
            <w:tcBorders>
              <w:left w:val="single" w:sz="4" w:space="0" w:color="auto"/>
            </w:tcBorders>
            <w:vAlign w:val="center"/>
          </w:tcPr>
          <w:p w:rsidR="0051548C" w:rsidRPr="002A18BB" w:rsidRDefault="0051548C" w:rsidP="003B0544">
            <w:pPr>
              <w:jc w:val="center"/>
              <w:rPr>
                <w:rFonts w:ascii="Times New Roman" w:eastAsia="GB18030 Bitmap" w:hAnsi="Times New Roman"/>
              </w:rPr>
            </w:pPr>
            <w:r w:rsidRPr="002A18BB">
              <w:rPr>
                <w:rFonts w:ascii="Times New Roman" w:eastAsia="GB18030 Bitmap" w:hAnsi="Times New Roman"/>
              </w:rPr>
              <w:t>1438.05</w:t>
            </w:r>
          </w:p>
        </w:tc>
      </w:tr>
      <w:tr w:rsidR="0051548C" w:rsidRPr="002A18BB" w:rsidTr="003B0544">
        <w:trPr>
          <w:trHeight w:val="336"/>
        </w:trPr>
        <w:tc>
          <w:tcPr>
            <w:tcW w:w="1951" w:type="dxa"/>
            <w:vMerge/>
          </w:tcPr>
          <w:p w:rsidR="0051548C" w:rsidRPr="002A18BB" w:rsidRDefault="0051548C" w:rsidP="003B0544">
            <w:pPr>
              <w:jc w:val="center"/>
              <w:rPr>
                <w:rFonts w:ascii="Times New Roman" w:eastAsia="GB18030 Bitmap" w:hAnsi="Times New Roman"/>
              </w:rPr>
            </w:pPr>
          </w:p>
        </w:tc>
        <w:tc>
          <w:tcPr>
            <w:tcW w:w="2058" w:type="dxa"/>
            <w:tcBorders>
              <w:top w:val="single" w:sz="4" w:space="0" w:color="auto"/>
              <w:bottom w:val="single" w:sz="4" w:space="0" w:color="auto"/>
            </w:tcBorders>
          </w:tcPr>
          <w:p w:rsidR="0051548C" w:rsidRPr="002A18BB" w:rsidRDefault="00B87084" w:rsidP="003B0544">
            <w:pPr>
              <w:jc w:val="center"/>
              <w:rPr>
                <w:rFonts w:ascii="Times New Roman" w:eastAsia="GB18030 Bitmap" w:hAnsi="Times New Roman"/>
              </w:rPr>
            </w:pPr>
            <w:r>
              <w:rPr>
                <w:rFonts w:ascii="Times New Roman" w:eastAsia="GB18030 Bitmap" w:hAnsi="Times New Roman"/>
              </w:rPr>
              <w:t>Medium</w:t>
            </w:r>
            <w:r w:rsidR="0051548C" w:rsidRPr="002A18BB">
              <w:rPr>
                <w:rFonts w:ascii="Times New Roman" w:eastAsia="GB18030 Bitmap" w:hAnsi="Times New Roman"/>
              </w:rPr>
              <w:t xml:space="preserve">   </w:t>
            </w:r>
            <w:r w:rsidR="0051548C">
              <w:rPr>
                <w:rFonts w:ascii="Times New Roman" w:eastAsia="GB18030 Bitmap" w:hAnsi="Times New Roman"/>
              </w:rPr>
              <w:t xml:space="preserve"> </w:t>
            </w:r>
            <w:r w:rsidR="0051548C" w:rsidRPr="002A18BB">
              <w:rPr>
                <w:rFonts w:ascii="Times New Roman" w:eastAsia="GB18030 Bitmap" w:hAnsi="Times New Roman"/>
              </w:rPr>
              <w:t>8000</w:t>
            </w:r>
          </w:p>
        </w:tc>
        <w:tc>
          <w:tcPr>
            <w:tcW w:w="2007" w:type="dxa"/>
            <w:tcBorders>
              <w:top w:val="single" w:sz="4" w:space="0" w:color="auto"/>
              <w:bottom w:val="single" w:sz="4" w:space="0" w:color="auto"/>
            </w:tcBorders>
          </w:tcPr>
          <w:p w:rsidR="0051548C" w:rsidRPr="002A18BB" w:rsidRDefault="0051548C" w:rsidP="003B0544">
            <w:pPr>
              <w:jc w:val="center"/>
              <w:rPr>
                <w:rFonts w:ascii="Times New Roman" w:eastAsia="GB18030 Bitmap" w:hAnsi="Times New Roman"/>
              </w:rPr>
            </w:pPr>
            <w:r w:rsidRPr="002A18BB">
              <w:rPr>
                <w:rFonts w:ascii="Times New Roman" w:eastAsia="GB18030 Bitmap" w:hAnsi="Times New Roman"/>
              </w:rPr>
              <w:t>0.60</w:t>
            </w:r>
          </w:p>
        </w:tc>
        <w:tc>
          <w:tcPr>
            <w:tcW w:w="1618" w:type="dxa"/>
            <w:vMerge/>
            <w:tcBorders>
              <w:right w:val="single" w:sz="4" w:space="0" w:color="auto"/>
            </w:tcBorders>
            <w:vAlign w:val="center"/>
          </w:tcPr>
          <w:p w:rsidR="0051548C" w:rsidRPr="002A18BB" w:rsidRDefault="0051548C" w:rsidP="003B0544">
            <w:pPr>
              <w:jc w:val="center"/>
              <w:rPr>
                <w:rFonts w:ascii="Times New Roman" w:eastAsia="GB18030 Bitmap" w:hAnsi="Times New Roman"/>
              </w:rPr>
            </w:pPr>
          </w:p>
        </w:tc>
        <w:tc>
          <w:tcPr>
            <w:tcW w:w="1222" w:type="dxa"/>
            <w:vMerge/>
            <w:tcBorders>
              <w:left w:val="single" w:sz="4" w:space="0" w:color="auto"/>
            </w:tcBorders>
            <w:vAlign w:val="center"/>
          </w:tcPr>
          <w:p w:rsidR="0051548C" w:rsidRPr="002A18BB" w:rsidRDefault="0051548C" w:rsidP="003B0544">
            <w:pPr>
              <w:jc w:val="center"/>
              <w:rPr>
                <w:rFonts w:ascii="Times New Roman" w:eastAsia="GB18030 Bitmap" w:hAnsi="Times New Roman"/>
              </w:rPr>
            </w:pPr>
          </w:p>
        </w:tc>
      </w:tr>
      <w:tr w:rsidR="0051548C" w:rsidRPr="002A18BB" w:rsidTr="003B0544">
        <w:trPr>
          <w:trHeight w:val="187"/>
        </w:trPr>
        <w:tc>
          <w:tcPr>
            <w:tcW w:w="1951" w:type="dxa"/>
            <w:vMerge/>
            <w:tcBorders>
              <w:bottom w:val="single" w:sz="4" w:space="0" w:color="auto"/>
            </w:tcBorders>
          </w:tcPr>
          <w:p w:rsidR="0051548C" w:rsidRPr="002A18BB" w:rsidRDefault="0051548C" w:rsidP="003B0544">
            <w:pPr>
              <w:jc w:val="center"/>
              <w:rPr>
                <w:rFonts w:ascii="Times New Roman" w:eastAsia="GB18030 Bitmap" w:hAnsi="Times New Roman"/>
              </w:rPr>
            </w:pPr>
          </w:p>
        </w:tc>
        <w:tc>
          <w:tcPr>
            <w:tcW w:w="2058" w:type="dxa"/>
            <w:tcBorders>
              <w:top w:val="single" w:sz="4" w:space="0" w:color="auto"/>
              <w:bottom w:val="single" w:sz="4" w:space="0" w:color="auto"/>
            </w:tcBorders>
          </w:tcPr>
          <w:p w:rsidR="0051548C" w:rsidRPr="002A18BB" w:rsidRDefault="0051548C" w:rsidP="003B0544">
            <w:pPr>
              <w:jc w:val="center"/>
              <w:rPr>
                <w:rFonts w:ascii="Times New Roman" w:eastAsia="GB18030 Bitmap" w:hAnsi="Times New Roman"/>
              </w:rPr>
            </w:pPr>
            <w:r w:rsidRPr="002A18BB">
              <w:rPr>
                <w:rFonts w:ascii="Times New Roman" w:eastAsia="GB18030 Bitmap" w:hAnsi="Times New Roman"/>
              </w:rPr>
              <w:t xml:space="preserve"> High        9000</w:t>
            </w:r>
          </w:p>
        </w:tc>
        <w:tc>
          <w:tcPr>
            <w:tcW w:w="2007" w:type="dxa"/>
            <w:tcBorders>
              <w:top w:val="single" w:sz="4" w:space="0" w:color="auto"/>
              <w:bottom w:val="single" w:sz="4" w:space="0" w:color="auto"/>
            </w:tcBorders>
          </w:tcPr>
          <w:p w:rsidR="0051548C" w:rsidRPr="002A18BB" w:rsidRDefault="0051548C" w:rsidP="003B0544">
            <w:pPr>
              <w:jc w:val="center"/>
              <w:rPr>
                <w:rFonts w:ascii="Times New Roman" w:eastAsia="GB18030 Bitmap" w:hAnsi="Times New Roman"/>
              </w:rPr>
            </w:pPr>
            <w:r w:rsidRPr="002A18BB">
              <w:rPr>
                <w:rFonts w:ascii="Times New Roman" w:eastAsia="GB18030 Bitmap" w:hAnsi="Times New Roman"/>
              </w:rPr>
              <w:t>0.30</w:t>
            </w:r>
          </w:p>
        </w:tc>
        <w:tc>
          <w:tcPr>
            <w:tcW w:w="1618" w:type="dxa"/>
            <w:vMerge/>
            <w:tcBorders>
              <w:right w:val="single" w:sz="4" w:space="0" w:color="auto"/>
            </w:tcBorders>
            <w:vAlign w:val="center"/>
          </w:tcPr>
          <w:p w:rsidR="0051548C" w:rsidRPr="002A18BB" w:rsidRDefault="0051548C" w:rsidP="003B0544">
            <w:pPr>
              <w:jc w:val="center"/>
              <w:rPr>
                <w:rFonts w:ascii="Times New Roman" w:eastAsia="GB18030 Bitmap" w:hAnsi="Times New Roman"/>
              </w:rPr>
            </w:pPr>
          </w:p>
        </w:tc>
        <w:tc>
          <w:tcPr>
            <w:tcW w:w="1222" w:type="dxa"/>
            <w:vMerge/>
            <w:tcBorders>
              <w:left w:val="single" w:sz="4" w:space="0" w:color="auto"/>
            </w:tcBorders>
            <w:vAlign w:val="center"/>
          </w:tcPr>
          <w:p w:rsidR="0051548C" w:rsidRPr="002A18BB" w:rsidRDefault="0051548C" w:rsidP="003B0544">
            <w:pPr>
              <w:jc w:val="center"/>
              <w:rPr>
                <w:rFonts w:ascii="Times New Roman" w:eastAsia="GB18030 Bitmap" w:hAnsi="Times New Roman"/>
              </w:rPr>
            </w:pPr>
          </w:p>
        </w:tc>
      </w:tr>
      <w:tr w:rsidR="0051548C" w:rsidRPr="002A18BB" w:rsidTr="003B0544">
        <w:trPr>
          <w:trHeight w:val="272"/>
        </w:trPr>
        <w:tc>
          <w:tcPr>
            <w:tcW w:w="1951" w:type="dxa"/>
            <w:vMerge w:val="restart"/>
          </w:tcPr>
          <w:p w:rsidR="0051548C" w:rsidRPr="002A18BB" w:rsidRDefault="0051548C" w:rsidP="003B0544">
            <w:pPr>
              <w:jc w:val="center"/>
              <w:rPr>
                <w:rFonts w:ascii="Times New Roman" w:eastAsia="GB18030 Bitmap" w:hAnsi="Times New Roman"/>
                <w:lang w:eastAsia="zh-CN"/>
              </w:rPr>
            </w:pPr>
            <w:r w:rsidRPr="002A18BB">
              <w:rPr>
                <w:rFonts w:ascii="Times New Roman" w:eastAsia="GB18030 Bitmap" w:hAnsi="Times New Roman"/>
                <w:lang w:eastAsia="zh-CN"/>
              </w:rPr>
              <w:t>Dissolved oxygen (mg/L)</w:t>
            </w:r>
          </w:p>
        </w:tc>
        <w:tc>
          <w:tcPr>
            <w:tcW w:w="2058" w:type="dxa"/>
            <w:tcBorders>
              <w:bottom w:val="single" w:sz="4" w:space="0" w:color="auto"/>
            </w:tcBorders>
          </w:tcPr>
          <w:p w:rsidR="0051548C" w:rsidRPr="002A18BB" w:rsidRDefault="0051548C" w:rsidP="003B0544">
            <w:pPr>
              <w:rPr>
                <w:rFonts w:ascii="Times New Roman" w:eastAsia="GB18030 Bitmap" w:hAnsi="Times New Roman"/>
              </w:rPr>
            </w:pPr>
            <w:r w:rsidRPr="002A18BB">
              <w:rPr>
                <w:rFonts w:ascii="Times New Roman" w:eastAsia="GB18030 Bitmap" w:hAnsi="Times New Roman"/>
              </w:rPr>
              <w:t xml:space="preserve">    Low           6</w:t>
            </w:r>
          </w:p>
        </w:tc>
        <w:tc>
          <w:tcPr>
            <w:tcW w:w="2007" w:type="dxa"/>
            <w:tcBorders>
              <w:bottom w:val="single" w:sz="4" w:space="0" w:color="auto"/>
            </w:tcBorders>
          </w:tcPr>
          <w:p w:rsidR="0051548C" w:rsidRPr="002A18BB" w:rsidRDefault="0051548C" w:rsidP="003B0544">
            <w:pPr>
              <w:jc w:val="center"/>
              <w:rPr>
                <w:rFonts w:ascii="Times New Roman" w:eastAsia="GB18030 Bitmap" w:hAnsi="Times New Roman"/>
              </w:rPr>
            </w:pPr>
            <w:r w:rsidRPr="002A18BB">
              <w:rPr>
                <w:rFonts w:ascii="Times New Roman" w:eastAsia="GB18030 Bitmap" w:hAnsi="Times New Roman"/>
              </w:rPr>
              <w:t>0.20</w:t>
            </w:r>
          </w:p>
        </w:tc>
        <w:tc>
          <w:tcPr>
            <w:tcW w:w="1618" w:type="dxa"/>
            <w:vMerge w:val="restart"/>
            <w:tcBorders>
              <w:right w:val="single" w:sz="4" w:space="0" w:color="auto"/>
            </w:tcBorders>
            <w:vAlign w:val="center"/>
          </w:tcPr>
          <w:p w:rsidR="0051548C" w:rsidRPr="002A18BB" w:rsidRDefault="0051548C" w:rsidP="003B0544">
            <w:pPr>
              <w:jc w:val="center"/>
              <w:rPr>
                <w:rFonts w:ascii="Times New Roman" w:eastAsia="GB18030 Bitmap" w:hAnsi="Times New Roman"/>
              </w:rPr>
            </w:pPr>
            <w:r w:rsidRPr="002A18BB">
              <w:rPr>
                <w:rFonts w:ascii="Times New Roman" w:eastAsia="GB18030 Bitmap" w:hAnsi="Times New Roman"/>
              </w:rPr>
              <w:t>6.74</w:t>
            </w:r>
          </w:p>
        </w:tc>
        <w:tc>
          <w:tcPr>
            <w:tcW w:w="1222" w:type="dxa"/>
            <w:vMerge w:val="restart"/>
            <w:tcBorders>
              <w:left w:val="single" w:sz="4" w:space="0" w:color="auto"/>
            </w:tcBorders>
            <w:vAlign w:val="center"/>
          </w:tcPr>
          <w:p w:rsidR="0051548C" w:rsidRPr="002A18BB" w:rsidRDefault="0051548C" w:rsidP="003B0544">
            <w:pPr>
              <w:jc w:val="center"/>
              <w:rPr>
                <w:rFonts w:ascii="Times New Roman" w:eastAsia="GB18030 Bitmap" w:hAnsi="Times New Roman"/>
              </w:rPr>
            </w:pPr>
            <w:r w:rsidRPr="002A18BB">
              <w:rPr>
                <w:rFonts w:ascii="Times New Roman" w:eastAsia="GB18030 Bitmap" w:hAnsi="Times New Roman"/>
              </w:rPr>
              <w:t>1.05</w:t>
            </w:r>
          </w:p>
        </w:tc>
      </w:tr>
      <w:tr w:rsidR="0051548C" w:rsidRPr="002A18BB" w:rsidTr="003B0544">
        <w:trPr>
          <w:trHeight w:val="267"/>
        </w:trPr>
        <w:tc>
          <w:tcPr>
            <w:tcW w:w="1951" w:type="dxa"/>
            <w:vMerge/>
          </w:tcPr>
          <w:p w:rsidR="0051548C" w:rsidRPr="002A18BB" w:rsidRDefault="0051548C" w:rsidP="003B0544">
            <w:pPr>
              <w:jc w:val="center"/>
              <w:rPr>
                <w:rFonts w:ascii="Times New Roman" w:eastAsia="GB18030 Bitmap" w:hAnsi="Times New Roman"/>
                <w:lang w:eastAsia="zh-CN"/>
              </w:rPr>
            </w:pPr>
          </w:p>
        </w:tc>
        <w:tc>
          <w:tcPr>
            <w:tcW w:w="2058" w:type="dxa"/>
            <w:tcBorders>
              <w:top w:val="single" w:sz="4" w:space="0" w:color="auto"/>
              <w:bottom w:val="single" w:sz="4" w:space="0" w:color="auto"/>
            </w:tcBorders>
          </w:tcPr>
          <w:p w:rsidR="0051548C" w:rsidRPr="002A18BB" w:rsidRDefault="00B87084" w:rsidP="003B0544">
            <w:pPr>
              <w:rPr>
                <w:rFonts w:ascii="Times New Roman" w:eastAsia="GB18030 Bitmap" w:hAnsi="Times New Roman"/>
              </w:rPr>
            </w:pPr>
            <w:r>
              <w:rPr>
                <w:rFonts w:ascii="Times New Roman" w:eastAsia="GB18030 Bitmap" w:hAnsi="Times New Roman"/>
              </w:rPr>
              <w:t xml:space="preserve">    Medium</w:t>
            </w:r>
            <w:r w:rsidR="0051548C" w:rsidRPr="002A18BB">
              <w:rPr>
                <w:rFonts w:ascii="Times New Roman" w:eastAsia="GB18030 Bitmap" w:hAnsi="Times New Roman"/>
              </w:rPr>
              <w:t xml:space="preserve">     </w:t>
            </w:r>
            <w:r w:rsidR="0051548C">
              <w:rPr>
                <w:rFonts w:ascii="Times New Roman" w:eastAsia="GB18030 Bitmap" w:hAnsi="Times New Roman"/>
              </w:rPr>
              <w:t xml:space="preserve"> </w:t>
            </w:r>
            <w:r w:rsidR="0051548C" w:rsidRPr="002A18BB">
              <w:rPr>
                <w:rFonts w:ascii="Times New Roman" w:eastAsia="GB18030 Bitmap" w:hAnsi="Times New Roman"/>
              </w:rPr>
              <w:t>7</w:t>
            </w:r>
          </w:p>
        </w:tc>
        <w:tc>
          <w:tcPr>
            <w:tcW w:w="2007" w:type="dxa"/>
            <w:tcBorders>
              <w:top w:val="single" w:sz="4" w:space="0" w:color="auto"/>
              <w:bottom w:val="single" w:sz="4" w:space="0" w:color="auto"/>
            </w:tcBorders>
          </w:tcPr>
          <w:p w:rsidR="0051548C" w:rsidRPr="002A18BB" w:rsidRDefault="0051548C" w:rsidP="003B0544">
            <w:pPr>
              <w:jc w:val="center"/>
              <w:rPr>
                <w:rFonts w:ascii="Times New Roman" w:eastAsia="GB18030 Bitmap" w:hAnsi="Times New Roman"/>
              </w:rPr>
            </w:pPr>
            <w:r w:rsidRPr="002A18BB">
              <w:rPr>
                <w:rFonts w:ascii="Times New Roman" w:eastAsia="GB18030 Bitmap" w:hAnsi="Times New Roman"/>
              </w:rPr>
              <w:t>0.70</w:t>
            </w:r>
          </w:p>
        </w:tc>
        <w:tc>
          <w:tcPr>
            <w:tcW w:w="1618" w:type="dxa"/>
            <w:vMerge/>
            <w:tcBorders>
              <w:right w:val="single" w:sz="4" w:space="0" w:color="auto"/>
            </w:tcBorders>
            <w:vAlign w:val="center"/>
          </w:tcPr>
          <w:p w:rsidR="0051548C" w:rsidRPr="002A18BB" w:rsidRDefault="0051548C" w:rsidP="003B0544">
            <w:pPr>
              <w:jc w:val="center"/>
              <w:rPr>
                <w:rFonts w:ascii="Times New Roman" w:eastAsia="GB18030 Bitmap" w:hAnsi="Times New Roman"/>
              </w:rPr>
            </w:pPr>
          </w:p>
        </w:tc>
        <w:tc>
          <w:tcPr>
            <w:tcW w:w="1222" w:type="dxa"/>
            <w:vMerge/>
            <w:tcBorders>
              <w:left w:val="single" w:sz="4" w:space="0" w:color="auto"/>
            </w:tcBorders>
            <w:vAlign w:val="center"/>
          </w:tcPr>
          <w:p w:rsidR="0051548C" w:rsidRPr="002A18BB" w:rsidRDefault="0051548C" w:rsidP="003B0544">
            <w:pPr>
              <w:jc w:val="center"/>
              <w:rPr>
                <w:rFonts w:ascii="Times New Roman" w:eastAsia="GB18030 Bitmap" w:hAnsi="Times New Roman"/>
              </w:rPr>
            </w:pPr>
          </w:p>
        </w:tc>
      </w:tr>
      <w:tr w:rsidR="0051548C" w:rsidRPr="002A18BB" w:rsidTr="003B0544">
        <w:trPr>
          <w:trHeight w:val="192"/>
        </w:trPr>
        <w:tc>
          <w:tcPr>
            <w:tcW w:w="1951" w:type="dxa"/>
            <w:vMerge/>
            <w:tcBorders>
              <w:bottom w:val="single" w:sz="4" w:space="0" w:color="auto"/>
            </w:tcBorders>
          </w:tcPr>
          <w:p w:rsidR="0051548C" w:rsidRPr="002A18BB" w:rsidRDefault="0051548C" w:rsidP="003B0544">
            <w:pPr>
              <w:jc w:val="center"/>
              <w:rPr>
                <w:rFonts w:ascii="Times New Roman" w:eastAsia="GB18030 Bitmap" w:hAnsi="Times New Roman"/>
                <w:lang w:eastAsia="zh-CN"/>
              </w:rPr>
            </w:pPr>
          </w:p>
        </w:tc>
        <w:tc>
          <w:tcPr>
            <w:tcW w:w="2058" w:type="dxa"/>
            <w:tcBorders>
              <w:top w:val="single" w:sz="4" w:space="0" w:color="auto"/>
              <w:bottom w:val="single" w:sz="4" w:space="0" w:color="auto"/>
            </w:tcBorders>
          </w:tcPr>
          <w:p w:rsidR="0051548C" w:rsidRPr="002A18BB" w:rsidRDefault="0051548C" w:rsidP="003B0544">
            <w:pPr>
              <w:rPr>
                <w:rFonts w:ascii="Times New Roman" w:eastAsia="GB18030 Bitmap" w:hAnsi="Times New Roman"/>
              </w:rPr>
            </w:pPr>
            <w:r w:rsidRPr="002A18BB">
              <w:rPr>
                <w:rFonts w:ascii="Times New Roman" w:eastAsia="GB18030 Bitmap" w:hAnsi="Times New Roman"/>
              </w:rPr>
              <w:t xml:space="preserve">    High          8</w:t>
            </w:r>
          </w:p>
        </w:tc>
        <w:tc>
          <w:tcPr>
            <w:tcW w:w="2007" w:type="dxa"/>
            <w:tcBorders>
              <w:top w:val="single" w:sz="4" w:space="0" w:color="auto"/>
            </w:tcBorders>
          </w:tcPr>
          <w:p w:rsidR="0051548C" w:rsidRPr="002A18BB" w:rsidRDefault="0051548C" w:rsidP="003B0544">
            <w:pPr>
              <w:jc w:val="center"/>
              <w:rPr>
                <w:rFonts w:ascii="Times New Roman" w:eastAsia="GB18030 Bitmap" w:hAnsi="Times New Roman"/>
              </w:rPr>
            </w:pPr>
            <w:r w:rsidRPr="002A18BB">
              <w:rPr>
                <w:rFonts w:ascii="Times New Roman" w:eastAsia="GB18030 Bitmap" w:hAnsi="Times New Roman"/>
              </w:rPr>
              <w:t>0.10</w:t>
            </w:r>
          </w:p>
        </w:tc>
        <w:tc>
          <w:tcPr>
            <w:tcW w:w="1618" w:type="dxa"/>
            <w:vMerge/>
            <w:tcBorders>
              <w:right w:val="single" w:sz="4" w:space="0" w:color="auto"/>
            </w:tcBorders>
            <w:vAlign w:val="center"/>
          </w:tcPr>
          <w:p w:rsidR="0051548C" w:rsidRPr="002A18BB" w:rsidRDefault="0051548C" w:rsidP="003B0544">
            <w:pPr>
              <w:jc w:val="center"/>
              <w:rPr>
                <w:rFonts w:ascii="Times New Roman" w:eastAsia="GB18030 Bitmap" w:hAnsi="Times New Roman"/>
              </w:rPr>
            </w:pPr>
          </w:p>
        </w:tc>
        <w:tc>
          <w:tcPr>
            <w:tcW w:w="1222" w:type="dxa"/>
            <w:vMerge/>
            <w:tcBorders>
              <w:left w:val="single" w:sz="4" w:space="0" w:color="auto"/>
            </w:tcBorders>
            <w:vAlign w:val="center"/>
          </w:tcPr>
          <w:p w:rsidR="0051548C" w:rsidRPr="002A18BB" w:rsidRDefault="0051548C" w:rsidP="003B0544">
            <w:pPr>
              <w:jc w:val="center"/>
              <w:rPr>
                <w:rFonts w:ascii="Times New Roman" w:eastAsia="GB18030 Bitmap" w:hAnsi="Times New Roman"/>
              </w:rPr>
            </w:pPr>
          </w:p>
        </w:tc>
      </w:tr>
      <w:tr w:rsidR="0051548C" w:rsidRPr="002A18BB" w:rsidTr="003B0544">
        <w:trPr>
          <w:trHeight w:val="261"/>
        </w:trPr>
        <w:tc>
          <w:tcPr>
            <w:tcW w:w="1951" w:type="dxa"/>
            <w:vMerge w:val="restart"/>
          </w:tcPr>
          <w:p w:rsidR="0051548C" w:rsidRPr="002A18BB" w:rsidRDefault="0051548C" w:rsidP="003B0544">
            <w:pPr>
              <w:jc w:val="center"/>
              <w:rPr>
                <w:rFonts w:ascii="Times New Roman" w:eastAsia="GB18030 Bitmap" w:hAnsi="Times New Roman"/>
                <w:lang w:eastAsia="zh-CN"/>
              </w:rPr>
            </w:pPr>
            <w:r w:rsidRPr="002A18BB">
              <w:rPr>
                <w:rFonts w:ascii="Times New Roman" w:eastAsia="GB18030 Bitmap" w:hAnsi="Times New Roman"/>
                <w:lang w:eastAsia="zh-CN"/>
              </w:rPr>
              <w:t>Total suspended solids (mg/L)</w:t>
            </w:r>
          </w:p>
        </w:tc>
        <w:tc>
          <w:tcPr>
            <w:tcW w:w="2058" w:type="dxa"/>
            <w:tcBorders>
              <w:bottom w:val="single" w:sz="4" w:space="0" w:color="auto"/>
            </w:tcBorders>
          </w:tcPr>
          <w:p w:rsidR="0051548C" w:rsidRPr="002A18BB" w:rsidRDefault="0051548C" w:rsidP="003B0544">
            <w:pPr>
              <w:rPr>
                <w:rFonts w:ascii="Times New Roman" w:eastAsia="GB18030 Bitmap" w:hAnsi="Times New Roman"/>
              </w:rPr>
            </w:pPr>
            <w:r w:rsidRPr="002A18BB">
              <w:rPr>
                <w:rFonts w:ascii="Times New Roman" w:eastAsia="GB18030 Bitmap" w:hAnsi="Times New Roman"/>
              </w:rPr>
              <w:t xml:space="preserve">    Low          20</w:t>
            </w:r>
          </w:p>
        </w:tc>
        <w:tc>
          <w:tcPr>
            <w:tcW w:w="2007" w:type="dxa"/>
            <w:tcBorders>
              <w:bottom w:val="single" w:sz="4" w:space="0" w:color="auto"/>
            </w:tcBorders>
          </w:tcPr>
          <w:p w:rsidR="0051548C" w:rsidRPr="002A18BB" w:rsidRDefault="0051548C" w:rsidP="003B0544">
            <w:pPr>
              <w:jc w:val="center"/>
              <w:rPr>
                <w:rFonts w:ascii="Times New Roman" w:eastAsia="GB18030 Bitmap" w:hAnsi="Times New Roman"/>
              </w:rPr>
            </w:pPr>
            <w:r w:rsidRPr="002A18BB">
              <w:rPr>
                <w:rFonts w:ascii="Times New Roman" w:eastAsia="GB18030 Bitmap" w:hAnsi="Times New Roman"/>
              </w:rPr>
              <w:t>0.10</w:t>
            </w:r>
          </w:p>
        </w:tc>
        <w:tc>
          <w:tcPr>
            <w:tcW w:w="1618" w:type="dxa"/>
            <w:vMerge w:val="restart"/>
            <w:tcBorders>
              <w:right w:val="single" w:sz="4" w:space="0" w:color="auto"/>
            </w:tcBorders>
            <w:vAlign w:val="center"/>
          </w:tcPr>
          <w:p w:rsidR="0051548C" w:rsidRPr="002A18BB" w:rsidRDefault="0051548C" w:rsidP="003B0544">
            <w:pPr>
              <w:jc w:val="center"/>
              <w:rPr>
                <w:rFonts w:ascii="Times New Roman" w:eastAsia="GB18030 Bitmap" w:hAnsi="Times New Roman"/>
              </w:rPr>
            </w:pPr>
            <w:r w:rsidRPr="002A18BB">
              <w:rPr>
                <w:rFonts w:ascii="Times New Roman" w:eastAsia="GB18030 Bitmap" w:hAnsi="Times New Roman"/>
              </w:rPr>
              <w:t>47.12</w:t>
            </w:r>
          </w:p>
        </w:tc>
        <w:tc>
          <w:tcPr>
            <w:tcW w:w="1222" w:type="dxa"/>
            <w:vMerge w:val="restart"/>
            <w:tcBorders>
              <w:left w:val="single" w:sz="4" w:space="0" w:color="auto"/>
            </w:tcBorders>
            <w:vAlign w:val="center"/>
          </w:tcPr>
          <w:p w:rsidR="0051548C" w:rsidRPr="002A18BB" w:rsidRDefault="0051548C" w:rsidP="003B0544">
            <w:pPr>
              <w:jc w:val="center"/>
              <w:rPr>
                <w:rFonts w:ascii="Times New Roman" w:eastAsia="GB18030 Bitmap" w:hAnsi="Times New Roman"/>
              </w:rPr>
            </w:pPr>
            <w:r w:rsidRPr="002A18BB">
              <w:rPr>
                <w:rFonts w:ascii="Times New Roman" w:eastAsia="GB18030 Bitmap" w:hAnsi="Times New Roman"/>
              </w:rPr>
              <w:t>12.33</w:t>
            </w:r>
          </w:p>
        </w:tc>
      </w:tr>
      <w:tr w:rsidR="0051548C" w:rsidRPr="002A18BB" w:rsidTr="003B0544">
        <w:trPr>
          <w:trHeight w:val="237"/>
        </w:trPr>
        <w:tc>
          <w:tcPr>
            <w:tcW w:w="1951" w:type="dxa"/>
            <w:vMerge/>
          </w:tcPr>
          <w:p w:rsidR="0051548C" w:rsidRPr="002A18BB" w:rsidRDefault="0051548C" w:rsidP="003B0544">
            <w:pPr>
              <w:jc w:val="center"/>
              <w:rPr>
                <w:rFonts w:ascii="Times New Roman" w:eastAsia="GB18030 Bitmap" w:hAnsi="Times New Roman"/>
                <w:lang w:eastAsia="zh-CN"/>
              </w:rPr>
            </w:pPr>
          </w:p>
        </w:tc>
        <w:tc>
          <w:tcPr>
            <w:tcW w:w="2058" w:type="dxa"/>
            <w:tcBorders>
              <w:top w:val="single" w:sz="4" w:space="0" w:color="auto"/>
              <w:bottom w:val="single" w:sz="4" w:space="0" w:color="auto"/>
            </w:tcBorders>
          </w:tcPr>
          <w:p w:rsidR="0051548C" w:rsidRPr="002A18BB" w:rsidRDefault="00B87084" w:rsidP="003B0544">
            <w:pPr>
              <w:rPr>
                <w:rFonts w:ascii="Times New Roman" w:eastAsia="GB18030 Bitmap" w:hAnsi="Times New Roman"/>
              </w:rPr>
            </w:pPr>
            <w:r>
              <w:rPr>
                <w:rFonts w:ascii="Times New Roman" w:eastAsia="GB18030 Bitmap" w:hAnsi="Times New Roman"/>
              </w:rPr>
              <w:t xml:space="preserve">    Medium</w:t>
            </w:r>
            <w:r w:rsidR="0051548C" w:rsidRPr="002A18BB">
              <w:rPr>
                <w:rFonts w:ascii="Times New Roman" w:eastAsia="GB18030 Bitmap" w:hAnsi="Times New Roman"/>
              </w:rPr>
              <w:t xml:space="preserve">    </w:t>
            </w:r>
            <w:r w:rsidR="0051548C">
              <w:rPr>
                <w:rFonts w:ascii="Times New Roman" w:eastAsia="GB18030 Bitmap" w:hAnsi="Times New Roman"/>
              </w:rPr>
              <w:t xml:space="preserve"> </w:t>
            </w:r>
            <w:r w:rsidR="0051548C" w:rsidRPr="002A18BB">
              <w:rPr>
                <w:rFonts w:ascii="Times New Roman" w:eastAsia="GB18030 Bitmap" w:hAnsi="Times New Roman"/>
              </w:rPr>
              <w:t>30</w:t>
            </w:r>
          </w:p>
        </w:tc>
        <w:tc>
          <w:tcPr>
            <w:tcW w:w="2007" w:type="dxa"/>
            <w:tcBorders>
              <w:top w:val="single" w:sz="4" w:space="0" w:color="auto"/>
              <w:bottom w:val="single" w:sz="4" w:space="0" w:color="auto"/>
            </w:tcBorders>
          </w:tcPr>
          <w:p w:rsidR="0051548C" w:rsidRPr="002A18BB" w:rsidRDefault="0051548C" w:rsidP="003B0544">
            <w:pPr>
              <w:jc w:val="center"/>
              <w:rPr>
                <w:rFonts w:ascii="Times New Roman" w:eastAsia="GB18030 Bitmap" w:hAnsi="Times New Roman"/>
              </w:rPr>
            </w:pPr>
            <w:r w:rsidRPr="002A18BB">
              <w:rPr>
                <w:rFonts w:ascii="Times New Roman" w:eastAsia="GB18030 Bitmap" w:hAnsi="Times New Roman"/>
              </w:rPr>
              <w:t>0.70</w:t>
            </w:r>
          </w:p>
        </w:tc>
        <w:tc>
          <w:tcPr>
            <w:tcW w:w="1618" w:type="dxa"/>
            <w:vMerge/>
            <w:tcBorders>
              <w:right w:val="single" w:sz="4" w:space="0" w:color="auto"/>
            </w:tcBorders>
          </w:tcPr>
          <w:p w:rsidR="0051548C" w:rsidRPr="002A18BB" w:rsidRDefault="0051548C" w:rsidP="003B0544">
            <w:pPr>
              <w:jc w:val="center"/>
              <w:rPr>
                <w:rFonts w:ascii="Times New Roman" w:eastAsia="GB18030 Bitmap" w:hAnsi="Times New Roman"/>
              </w:rPr>
            </w:pPr>
          </w:p>
        </w:tc>
        <w:tc>
          <w:tcPr>
            <w:tcW w:w="1222" w:type="dxa"/>
            <w:vMerge/>
            <w:tcBorders>
              <w:left w:val="single" w:sz="4" w:space="0" w:color="auto"/>
            </w:tcBorders>
          </w:tcPr>
          <w:p w:rsidR="0051548C" w:rsidRPr="002A18BB" w:rsidRDefault="0051548C" w:rsidP="003B0544">
            <w:pPr>
              <w:jc w:val="center"/>
              <w:rPr>
                <w:rFonts w:ascii="Times New Roman" w:eastAsia="GB18030 Bitmap" w:hAnsi="Times New Roman"/>
              </w:rPr>
            </w:pPr>
          </w:p>
        </w:tc>
      </w:tr>
      <w:tr w:rsidR="0051548C" w:rsidRPr="002A18BB" w:rsidTr="003B0544">
        <w:trPr>
          <w:trHeight w:val="227"/>
        </w:trPr>
        <w:tc>
          <w:tcPr>
            <w:tcW w:w="1951" w:type="dxa"/>
            <w:vMerge/>
          </w:tcPr>
          <w:p w:rsidR="0051548C" w:rsidRPr="002A18BB" w:rsidRDefault="0051548C" w:rsidP="003B0544">
            <w:pPr>
              <w:jc w:val="center"/>
              <w:rPr>
                <w:rFonts w:ascii="Times New Roman" w:eastAsia="GB18030 Bitmap" w:hAnsi="Times New Roman"/>
                <w:lang w:eastAsia="zh-CN"/>
              </w:rPr>
            </w:pPr>
          </w:p>
        </w:tc>
        <w:tc>
          <w:tcPr>
            <w:tcW w:w="2058" w:type="dxa"/>
            <w:tcBorders>
              <w:top w:val="single" w:sz="4" w:space="0" w:color="auto"/>
              <w:bottom w:val="single" w:sz="4" w:space="0" w:color="auto"/>
            </w:tcBorders>
          </w:tcPr>
          <w:p w:rsidR="0051548C" w:rsidRPr="002A18BB" w:rsidRDefault="0051548C" w:rsidP="003B0544">
            <w:pPr>
              <w:rPr>
                <w:rFonts w:ascii="Times New Roman" w:eastAsia="GB18030 Bitmap" w:hAnsi="Times New Roman"/>
              </w:rPr>
            </w:pPr>
            <w:r w:rsidRPr="002A18BB">
              <w:rPr>
                <w:rFonts w:ascii="Times New Roman" w:eastAsia="GB18030 Bitmap" w:hAnsi="Times New Roman"/>
              </w:rPr>
              <w:t xml:space="preserve">    High         40</w:t>
            </w:r>
          </w:p>
        </w:tc>
        <w:tc>
          <w:tcPr>
            <w:tcW w:w="2007" w:type="dxa"/>
            <w:tcBorders>
              <w:top w:val="single" w:sz="4" w:space="0" w:color="auto"/>
            </w:tcBorders>
          </w:tcPr>
          <w:p w:rsidR="0051548C" w:rsidRPr="002A18BB" w:rsidRDefault="0051548C" w:rsidP="003B0544">
            <w:pPr>
              <w:jc w:val="center"/>
              <w:rPr>
                <w:rFonts w:ascii="Times New Roman" w:eastAsia="GB18030 Bitmap" w:hAnsi="Times New Roman"/>
              </w:rPr>
            </w:pPr>
            <w:r w:rsidRPr="002A18BB">
              <w:rPr>
                <w:rFonts w:ascii="Times New Roman" w:eastAsia="GB18030 Bitmap" w:hAnsi="Times New Roman"/>
              </w:rPr>
              <w:t>0.20</w:t>
            </w:r>
          </w:p>
        </w:tc>
        <w:tc>
          <w:tcPr>
            <w:tcW w:w="1618" w:type="dxa"/>
            <w:vMerge/>
            <w:tcBorders>
              <w:right w:val="single" w:sz="4" w:space="0" w:color="auto"/>
            </w:tcBorders>
          </w:tcPr>
          <w:p w:rsidR="0051548C" w:rsidRPr="002A18BB" w:rsidRDefault="0051548C" w:rsidP="003B0544">
            <w:pPr>
              <w:jc w:val="center"/>
              <w:rPr>
                <w:rFonts w:ascii="Times New Roman" w:eastAsia="GB18030 Bitmap" w:hAnsi="Times New Roman"/>
              </w:rPr>
            </w:pPr>
          </w:p>
        </w:tc>
        <w:tc>
          <w:tcPr>
            <w:tcW w:w="1222" w:type="dxa"/>
            <w:vMerge/>
            <w:tcBorders>
              <w:left w:val="single" w:sz="4" w:space="0" w:color="auto"/>
            </w:tcBorders>
          </w:tcPr>
          <w:p w:rsidR="0051548C" w:rsidRPr="002A18BB" w:rsidRDefault="0051548C" w:rsidP="003B0544">
            <w:pPr>
              <w:jc w:val="center"/>
              <w:rPr>
                <w:rFonts w:ascii="Times New Roman" w:eastAsia="GB18030 Bitmap" w:hAnsi="Times New Roman"/>
              </w:rPr>
            </w:pPr>
          </w:p>
        </w:tc>
      </w:tr>
    </w:tbl>
    <w:p w:rsidR="0051548C" w:rsidRPr="002A18BB" w:rsidRDefault="0051548C" w:rsidP="0051548C">
      <w:pPr>
        <w:jc w:val="center"/>
        <w:rPr>
          <w:rFonts w:eastAsia="GB18030 Bitmap"/>
        </w:rPr>
      </w:pPr>
    </w:p>
    <w:p w:rsidR="0051548C" w:rsidRDefault="0051548C" w:rsidP="0051548C"/>
    <w:p w:rsidR="00AB2F61" w:rsidRDefault="00397ECE" w:rsidP="005D1B8B">
      <w:pPr>
        <w:spacing w:line="480" w:lineRule="auto"/>
        <w:ind w:firstLine="720"/>
        <w:rPr>
          <w:rFonts w:cs="Times New Roman"/>
          <w:szCs w:val="24"/>
        </w:rPr>
      </w:pPr>
      <w:r>
        <w:rPr>
          <w:rFonts w:cs="Times New Roman"/>
          <w:szCs w:val="24"/>
        </w:rPr>
        <w:t xml:space="preserve">One thing that is clear from this table is that an econometric model </w:t>
      </w:r>
      <w:r w:rsidR="0036765C">
        <w:rPr>
          <w:rFonts w:cs="Times New Roman"/>
          <w:szCs w:val="24"/>
        </w:rPr>
        <w:t xml:space="preserve">in </w:t>
      </w:r>
      <w:r>
        <w:rPr>
          <w:rFonts w:cs="Times New Roman"/>
          <w:szCs w:val="24"/>
        </w:rPr>
        <w:t xml:space="preserve">which </w:t>
      </w:r>
      <w:r w:rsidR="0036765C">
        <w:rPr>
          <w:rFonts w:cs="Times New Roman"/>
          <w:szCs w:val="24"/>
        </w:rPr>
        <w:t>several dimensions of</w:t>
      </w:r>
      <w:r>
        <w:rPr>
          <w:rFonts w:cs="Times New Roman"/>
          <w:szCs w:val="24"/>
        </w:rPr>
        <w:t xml:space="preserve"> outcome</w:t>
      </w:r>
      <w:r w:rsidR="0036765C">
        <w:rPr>
          <w:rFonts w:cs="Times New Roman"/>
          <w:szCs w:val="24"/>
        </w:rPr>
        <w:t xml:space="preserve"> – such as fish yield, dissolved oxygen, and suspended solids – are </w:t>
      </w:r>
      <w:r w:rsidR="0036765C">
        <w:rPr>
          <w:rFonts w:cs="Times New Roman"/>
          <w:szCs w:val="24"/>
        </w:rPr>
        <w:lastRenderedPageBreak/>
        <w:t xml:space="preserve">pooled, we first must normalize the outputs in a way permitting comparisons among them.  Kilograms per hectare and </w:t>
      </w:r>
      <w:r w:rsidR="00AB2F61">
        <w:rPr>
          <w:rFonts w:cs="Times New Roman"/>
          <w:szCs w:val="24"/>
        </w:rPr>
        <w:t>micrograms per liter are not directly comparable.  A natural way to do so is to divide each outcome level by the sum of its Low, Medium, and High levels</w:t>
      </w:r>
      <w:r w:rsidR="00BC6BEE">
        <w:rPr>
          <w:rFonts w:cs="Times New Roman"/>
          <w:szCs w:val="24"/>
        </w:rPr>
        <w:t xml:space="preserve">, so that outcome levels are expressed essentially as percentage differences from their mean.  </w:t>
      </w:r>
      <w:r w:rsidR="00AB2F61">
        <w:rPr>
          <w:rFonts w:cs="Times New Roman"/>
          <w:szCs w:val="24"/>
        </w:rPr>
        <w:t xml:space="preserve">Thus, for example, we can restate the three alternative fish yield levels as 7/24, 8/24, and 9/24, where 24 = 7+8+9.  </w:t>
      </w:r>
      <w:r w:rsidR="00BC6BEE">
        <w:rPr>
          <w:rFonts w:cs="Times New Roman"/>
          <w:szCs w:val="24"/>
        </w:rPr>
        <w:t>Loss function values are invariant to this normalization.</w:t>
      </w:r>
    </w:p>
    <w:p w:rsidR="0051548C" w:rsidRDefault="000C088B" w:rsidP="005D1B8B">
      <w:pPr>
        <w:spacing w:line="480" w:lineRule="auto"/>
        <w:ind w:firstLine="720"/>
      </w:pPr>
      <w:r>
        <w:t xml:space="preserve">The prior probabilities </w:t>
      </w:r>
      <w:r w:rsidR="00BC6BEE">
        <w:t xml:space="preserve">in the table are </w:t>
      </w:r>
      <w:r>
        <w:t xml:space="preserve">elicited from the scientists on the basis of their best understanding, prior to conducting the research, of what the yield and chemical readings would be in </w:t>
      </w:r>
      <w:r w:rsidR="007336C9">
        <w:t>response to</w:t>
      </w:r>
      <w:r w:rsidR="00894FF1">
        <w:t xml:space="preserve"> the</w:t>
      </w:r>
      <w:r>
        <w:t xml:space="preserve"> particular </w:t>
      </w:r>
      <w:r w:rsidR="00894FF1">
        <w:t xml:space="preserve">treatment or </w:t>
      </w:r>
      <w:r>
        <w:t xml:space="preserve">set of management practices.  The posterior mean and standard deviation are, in contrast, taken from the </w:t>
      </w:r>
      <w:r w:rsidR="00A2705E">
        <w:t xml:space="preserve">statistical survey’s ANOVA </w:t>
      </w:r>
      <w:r>
        <w:t>results</w:t>
      </w:r>
      <w:r w:rsidR="00A2705E">
        <w:t xml:space="preserve">. </w:t>
      </w:r>
      <w:r>
        <w:t xml:space="preserve"> </w:t>
      </w:r>
      <w:r w:rsidR="00F10A47">
        <w:t>To demonstrate</w:t>
      </w:r>
      <w:r w:rsidR="0051548C">
        <w:t xml:space="preserve"> the value of </w:t>
      </w:r>
      <w:r w:rsidR="00F10A47">
        <w:t xml:space="preserve">this </w:t>
      </w:r>
      <w:r w:rsidR="00A2705E">
        <w:t xml:space="preserve">research, we </w:t>
      </w:r>
      <w:r w:rsidR="00F10A47">
        <w:t>compare the advantage of using th</w:t>
      </w:r>
      <w:r w:rsidR="00A2705E">
        <w:t>ese</w:t>
      </w:r>
      <w:r w:rsidR="00F10A47">
        <w:t xml:space="preserve"> posterior rather than prior distributions of when making </w:t>
      </w:r>
      <w:r w:rsidR="00543CCE">
        <w:t xml:space="preserve">shrimp production </w:t>
      </w:r>
      <w:r w:rsidR="00F10A47">
        <w:t>management decisions.</w:t>
      </w:r>
      <w:r w:rsidR="00397ECE">
        <w:t xml:space="preserve">  </w:t>
      </w:r>
    </w:p>
    <w:p w:rsidR="00CA6758" w:rsidRDefault="001060C1" w:rsidP="00036A04">
      <w:pPr>
        <w:spacing w:after="120" w:line="480" w:lineRule="auto"/>
        <w:ind w:firstLine="720"/>
      </w:pPr>
      <w:r>
        <w:t xml:space="preserve">The mean of the </w:t>
      </w:r>
      <w:r w:rsidR="00543CCE">
        <w:t xml:space="preserve">shrimp producer’s </w:t>
      </w:r>
      <w:r>
        <w:t>prior distribution is</w:t>
      </w:r>
    </w:p>
    <w:p w:rsidR="00CA6758" w:rsidRDefault="00AA1D4E" w:rsidP="00036A04">
      <w:pPr>
        <w:spacing w:before="240" w:after="240" w:line="480" w:lineRule="auto"/>
      </w:pPr>
      <w:r>
        <w:t>(7</w:t>
      </w:r>
      <w:r w:rsidR="00CA6758">
        <w:t>)</w:t>
      </w:r>
      <w:r w:rsidR="00CA6758">
        <w:tab/>
      </w:r>
      <w:r w:rsidR="00CA6758">
        <w:tab/>
      </w:r>
      <w:r w:rsidR="001060C1">
        <w:t xml:space="preserve"> </w:t>
      </w:r>
      <w:r w:rsidR="00C32E36">
        <w:tab/>
      </w:r>
      <w:r w:rsidR="00ED13B2" w:rsidRPr="001060C1">
        <w:rPr>
          <w:position w:val="-12"/>
        </w:rPr>
        <w:object w:dxaOrig="3280" w:dyaOrig="360">
          <v:shape id="_x0000_i1051" type="#_x0000_t75" style="width:164.25pt;height:18pt" o:ole="">
            <v:imagedata r:id="rId63" o:title=""/>
          </v:shape>
          <o:OLEObject Type="Embed" ProgID="Equation.DSMT4" ShapeID="_x0000_i1051" DrawAspect="Content" ObjectID="_1358241492" r:id="rId64"/>
        </w:object>
      </w:r>
    </w:p>
    <w:p w:rsidR="0051548C" w:rsidRPr="002A18BB" w:rsidRDefault="001060C1" w:rsidP="00036A04">
      <w:pPr>
        <w:spacing w:after="240" w:line="480" w:lineRule="auto"/>
      </w:pPr>
      <w:r>
        <w:t xml:space="preserve"> where </w:t>
      </w:r>
      <w:r w:rsidRPr="00376E15">
        <w:rPr>
          <w:i/>
        </w:rPr>
        <w:t>L</w:t>
      </w:r>
      <w:r>
        <w:t xml:space="preserve">, </w:t>
      </w:r>
      <w:r w:rsidRPr="00376E15">
        <w:rPr>
          <w:i/>
        </w:rPr>
        <w:t>M</w:t>
      </w:r>
      <w:r>
        <w:t xml:space="preserve">, and </w:t>
      </w:r>
      <w:r w:rsidRPr="00376E15">
        <w:rPr>
          <w:i/>
        </w:rPr>
        <w:t>H</w:t>
      </w:r>
      <w:r>
        <w:t xml:space="preserve"> are the low, medium, and high levels shown in the table</w:t>
      </w:r>
      <w:r w:rsidR="00376E15">
        <w:t>,</w:t>
      </w:r>
      <w:r>
        <w:t xml:space="preserve"> and the </w:t>
      </w:r>
      <w:r w:rsidRPr="007413A5">
        <w:rPr>
          <w:i/>
        </w:rPr>
        <w:t>P</w:t>
      </w:r>
      <w:r>
        <w:t>’s are the</w:t>
      </w:r>
      <w:r w:rsidR="00165C1A">
        <w:t xml:space="preserve"> associated prior probabilities.</w:t>
      </w:r>
      <w:r>
        <w:t xml:space="preserve">  </w:t>
      </w:r>
      <w:r w:rsidR="00630F9E">
        <w:t xml:space="preserve">This is what, prior to the research study, the producer expects his yields or dissolved oxygen levels to be.  </w:t>
      </w:r>
      <w:r w:rsidR="00376E15">
        <w:t>To derive the</w:t>
      </w:r>
      <w:r w:rsidR="00CA6758">
        <w:t xml:space="preserve"> mean of the posterior</w:t>
      </w:r>
      <w:r w:rsidR="00630F9E">
        <w:t xml:space="preserve"> distribution – namely what the producer exp</w:t>
      </w:r>
      <w:r w:rsidR="00A03C9A">
        <w:t xml:space="preserve">ects, by virtue of the new </w:t>
      </w:r>
      <w:r w:rsidR="00630F9E">
        <w:t>study, the yields or dissolved oxygen to</w:t>
      </w:r>
      <w:r w:rsidR="00376E15">
        <w:t xml:space="preserve"> </w:t>
      </w:r>
      <w:r w:rsidR="00630F9E">
        <w:t>be</w:t>
      </w:r>
      <w:r w:rsidR="00A03C9A">
        <w:t>,</w:t>
      </w:r>
      <w:r w:rsidR="00630F9E">
        <w:t xml:space="preserve"> </w:t>
      </w:r>
      <w:r w:rsidR="00376E15">
        <w:t>w</w:t>
      </w:r>
      <w:r w:rsidR="00B87084">
        <w:t xml:space="preserve">e first generate the </w:t>
      </w:r>
      <w:r w:rsidR="000C088B">
        <w:t xml:space="preserve">normal </w:t>
      </w:r>
      <w:r w:rsidR="00B87084">
        <w:t xml:space="preserve">density function </w:t>
      </w:r>
      <w:r w:rsidR="000C088B">
        <w:t xml:space="preserve">corresponding to the posterior </w:t>
      </w:r>
      <w:r w:rsidR="004F0241">
        <w:t xml:space="preserve">mean and </w:t>
      </w:r>
      <w:r w:rsidR="00CD3815">
        <w:t xml:space="preserve">posterior </w:t>
      </w:r>
      <w:r w:rsidR="004F0241">
        <w:t xml:space="preserve">standard deviation shown.  We then </w:t>
      </w:r>
      <w:r w:rsidR="00376E15">
        <w:t xml:space="preserve">compute </w:t>
      </w:r>
      <w:r w:rsidR="00CA6758">
        <w:t xml:space="preserve">from that </w:t>
      </w:r>
      <w:r w:rsidR="00CA6758">
        <w:lastRenderedPageBreak/>
        <w:t xml:space="preserve">density function </w:t>
      </w:r>
      <w:r w:rsidR="00376E15">
        <w:t xml:space="preserve">the low, medium, and high outcomes </w:t>
      </w:r>
      <w:r w:rsidR="00C92BB7">
        <w:rPr>
          <w:rFonts w:cs="SimSun"/>
          <w:lang w:eastAsia="zh-CN"/>
        </w:rPr>
        <w:t>(</w:t>
      </w:r>
      <w:r w:rsidR="00C92BB7" w:rsidRPr="00C92BB7">
        <w:rPr>
          <w:rFonts w:cs="SimSun"/>
          <w:position w:val="-4"/>
          <w:lang w:eastAsia="zh-CN"/>
        </w:rPr>
        <w:object w:dxaOrig="279" w:dyaOrig="260">
          <v:shape id="_x0000_i1052" type="#_x0000_t75" style="width:14.25pt;height:12.75pt" o:ole="">
            <v:imagedata r:id="rId65" o:title=""/>
          </v:shape>
          <o:OLEObject Type="Embed" ProgID="Equation.DSMT4" ShapeID="_x0000_i1052" DrawAspect="Content" ObjectID="_1358241493" r:id="rId66"/>
        </w:object>
      </w:r>
      <w:r w:rsidR="00C92BB7">
        <w:rPr>
          <w:rFonts w:cs="SimSun"/>
          <w:lang w:eastAsia="zh-CN"/>
        </w:rPr>
        <w:t xml:space="preserve">, </w:t>
      </w:r>
      <w:r w:rsidR="00C92BB7" w:rsidRPr="00C92BB7">
        <w:rPr>
          <w:rFonts w:cs="SimSun"/>
          <w:position w:val="-4"/>
          <w:lang w:eastAsia="zh-CN"/>
        </w:rPr>
        <w:object w:dxaOrig="380" w:dyaOrig="260">
          <v:shape id="_x0000_i1053" type="#_x0000_t75" style="width:18.75pt;height:12.75pt" o:ole="">
            <v:imagedata r:id="rId67" o:title=""/>
          </v:shape>
          <o:OLEObject Type="Embed" ProgID="Equation.DSMT4" ShapeID="_x0000_i1053" DrawAspect="Content" ObjectID="_1358241494" r:id="rId68"/>
        </w:object>
      </w:r>
      <w:r w:rsidR="00C92BB7">
        <w:rPr>
          <w:rFonts w:cs="SimSun"/>
          <w:lang w:eastAsia="zh-CN"/>
        </w:rPr>
        <w:t xml:space="preserve">, </w:t>
      </w:r>
      <w:r w:rsidR="00C92BB7" w:rsidRPr="00C92BB7">
        <w:rPr>
          <w:rFonts w:cs="SimSun"/>
          <w:position w:val="-4"/>
          <w:lang w:eastAsia="zh-CN"/>
        </w:rPr>
        <w:object w:dxaOrig="360" w:dyaOrig="260">
          <v:shape id="_x0000_i1054" type="#_x0000_t75" style="width:18pt;height:12.75pt" o:ole="">
            <v:imagedata r:id="rId69" o:title=""/>
          </v:shape>
          <o:OLEObject Type="Embed" ProgID="Equation.DSMT4" ShapeID="_x0000_i1054" DrawAspect="Content" ObjectID="_1358241495" r:id="rId70"/>
        </w:object>
      </w:r>
      <w:r w:rsidR="00C92BB7">
        <w:rPr>
          <w:rFonts w:cs="SimSun"/>
          <w:lang w:eastAsia="zh-CN"/>
        </w:rPr>
        <w:t xml:space="preserve">) </w:t>
      </w:r>
      <w:r w:rsidR="00376E15">
        <w:t>whose cumu</w:t>
      </w:r>
      <w:r w:rsidR="00A03C9A">
        <w:t xml:space="preserve">lative probabilities would </w:t>
      </w:r>
      <w:r w:rsidR="00CA6758">
        <w:t>– to keep our results comparable to the prior distribution – equal to those in the prior</w:t>
      </w:r>
      <w:r w:rsidR="00376E15">
        <w:t xml:space="preserve">.  The result is the mean outcome as corrected by </w:t>
      </w:r>
      <w:r w:rsidR="008A6D9D">
        <w:t xml:space="preserve">the research results, namely by the </w:t>
      </w:r>
      <w:r w:rsidR="00376E15">
        <w:t>information in the posterior distribution</w:t>
      </w:r>
      <w:r w:rsidR="00165C1A">
        <w:t>:</w:t>
      </w:r>
    </w:p>
    <w:p w:rsidR="008A6D9D" w:rsidRPr="005050DB" w:rsidRDefault="00AA1D4E" w:rsidP="00A44A98">
      <w:pPr>
        <w:spacing w:before="240" w:after="240" w:line="480" w:lineRule="auto"/>
        <w:rPr>
          <w:rFonts w:ascii="SimSun" w:hAnsi="SimSun" w:cs="SimSun"/>
          <w:color w:val="C00000"/>
          <w:position w:val="-8"/>
          <w:lang w:eastAsia="zh-CN"/>
        </w:rPr>
      </w:pPr>
      <w:r>
        <w:rPr>
          <w:rFonts w:cs="Times New Roman"/>
          <w:position w:val="-8"/>
          <w:lang w:eastAsia="zh-CN"/>
        </w:rPr>
        <w:t>(8</w:t>
      </w:r>
      <w:r w:rsidR="009B532C" w:rsidRPr="00D246C9">
        <w:rPr>
          <w:rFonts w:cs="Times New Roman"/>
          <w:position w:val="-8"/>
          <w:lang w:eastAsia="zh-CN"/>
        </w:rPr>
        <w:t>)</w:t>
      </w:r>
      <w:r w:rsidR="009B532C" w:rsidRPr="00D246C9">
        <w:rPr>
          <w:rFonts w:cs="Times New Roman"/>
          <w:position w:val="-8"/>
          <w:lang w:eastAsia="zh-CN"/>
        </w:rPr>
        <w:tab/>
      </w:r>
      <w:r w:rsidR="009B532C">
        <w:rPr>
          <w:rFonts w:ascii="SimSun" w:hAnsi="SimSun" w:cs="SimSun"/>
          <w:position w:val="-8"/>
          <w:lang w:eastAsia="zh-CN"/>
        </w:rPr>
        <w:tab/>
      </w:r>
      <w:r w:rsidR="009B532C">
        <w:rPr>
          <w:rFonts w:ascii="SimSun" w:hAnsi="SimSun" w:cs="SimSun"/>
          <w:position w:val="-8"/>
          <w:lang w:eastAsia="zh-CN"/>
        </w:rPr>
        <w:tab/>
      </w:r>
      <w:r w:rsidR="00ED13B2" w:rsidRPr="00372273">
        <w:rPr>
          <w:rFonts w:ascii="SimSun" w:hAnsi="SimSun" w:cs="SimSun"/>
          <w:position w:val="-12"/>
          <w:lang w:eastAsia="zh-CN"/>
        </w:rPr>
        <w:object w:dxaOrig="3660" w:dyaOrig="360">
          <v:shape id="_x0000_i1055" type="#_x0000_t75" style="width:183.75pt;height:18pt" o:ole="">
            <v:imagedata r:id="rId71" o:title=""/>
          </v:shape>
          <o:OLEObject Type="Embed" ProgID="Equation.DSMT4" ShapeID="_x0000_i1055" DrawAspect="Content" ObjectID="_1358241496" r:id="rId72"/>
        </w:object>
      </w:r>
    </w:p>
    <w:p w:rsidR="0051548C" w:rsidRDefault="008A6D9D" w:rsidP="00A44A98">
      <w:pPr>
        <w:spacing w:line="480" w:lineRule="auto"/>
        <w:ind w:firstLine="720"/>
        <w:rPr>
          <w:rFonts w:cs="SimSun"/>
          <w:lang w:eastAsia="zh-CN"/>
        </w:rPr>
      </w:pPr>
      <w:r w:rsidRPr="00B7396A">
        <w:rPr>
          <w:rFonts w:cs="SimSun"/>
          <w:lang w:eastAsia="zh-CN"/>
        </w:rPr>
        <w:t xml:space="preserve">We next use these </w:t>
      </w:r>
      <w:r w:rsidR="00A03C9A" w:rsidRPr="00B7396A">
        <w:rPr>
          <w:rFonts w:cs="SimSun"/>
          <w:lang w:eastAsia="zh-CN"/>
        </w:rPr>
        <w:t xml:space="preserve">two </w:t>
      </w:r>
      <w:r w:rsidR="006A6C74" w:rsidRPr="00B7396A">
        <w:rPr>
          <w:rFonts w:cs="SimSun"/>
          <w:lang w:eastAsia="zh-CN"/>
        </w:rPr>
        <w:t xml:space="preserve">respective means </w:t>
      </w:r>
      <w:r w:rsidR="00F74C10">
        <w:rPr>
          <w:rFonts w:cs="SimSun"/>
          <w:lang w:eastAsia="zh-CN"/>
        </w:rPr>
        <w:t>in (7) and (8</w:t>
      </w:r>
      <w:r w:rsidR="00B95140" w:rsidRPr="00B7396A">
        <w:rPr>
          <w:rFonts w:cs="SimSun"/>
          <w:lang w:eastAsia="zh-CN"/>
        </w:rPr>
        <w:t xml:space="preserve">) </w:t>
      </w:r>
      <w:r w:rsidR="006A6C74" w:rsidRPr="00B7396A">
        <w:rPr>
          <w:rFonts w:cs="SimSun"/>
          <w:lang w:eastAsia="zh-CN"/>
        </w:rPr>
        <w:t xml:space="preserve">to compute </w:t>
      </w:r>
      <w:r w:rsidR="00543CCE" w:rsidRPr="00B7396A">
        <w:rPr>
          <w:rFonts w:cs="SimSun"/>
          <w:lang w:eastAsia="zh-CN"/>
        </w:rPr>
        <w:t xml:space="preserve">two important </w:t>
      </w:r>
      <w:r w:rsidR="006A6C74" w:rsidRPr="00B7396A">
        <w:rPr>
          <w:rFonts w:cs="SimSun"/>
          <w:lang w:eastAsia="zh-CN"/>
        </w:rPr>
        <w:t xml:space="preserve">measures of </w:t>
      </w:r>
      <w:r w:rsidR="00A03C9A" w:rsidRPr="00B7396A">
        <w:rPr>
          <w:rFonts w:cs="SimSun"/>
          <w:lang w:eastAsia="zh-CN"/>
        </w:rPr>
        <w:t xml:space="preserve">random </w:t>
      </w:r>
      <w:r w:rsidR="006A6C74" w:rsidRPr="00B7396A">
        <w:rPr>
          <w:rFonts w:cs="SimSun"/>
          <w:lang w:eastAsia="zh-CN"/>
        </w:rPr>
        <w:t>variation</w:t>
      </w:r>
      <w:r w:rsidR="00A03C9A" w:rsidRPr="00B7396A">
        <w:rPr>
          <w:rFonts w:cs="SimSun"/>
          <w:lang w:eastAsia="zh-CN"/>
        </w:rPr>
        <w:t xml:space="preserve"> in </w:t>
      </w:r>
      <w:r w:rsidR="00402C16" w:rsidRPr="00B7396A">
        <w:rPr>
          <w:rFonts w:cs="SimSun"/>
          <w:lang w:eastAsia="zh-CN"/>
        </w:rPr>
        <w:t xml:space="preserve">the producer’s </w:t>
      </w:r>
      <w:r w:rsidR="00A03C9A" w:rsidRPr="00B7396A">
        <w:rPr>
          <w:rFonts w:cs="SimSun"/>
          <w:lang w:eastAsia="zh-CN"/>
        </w:rPr>
        <w:t xml:space="preserve">shrimp yield or </w:t>
      </w:r>
      <w:r w:rsidR="00402C16" w:rsidRPr="00B7396A">
        <w:rPr>
          <w:rFonts w:cs="SimSun"/>
          <w:lang w:eastAsia="zh-CN"/>
        </w:rPr>
        <w:t xml:space="preserve">pond </w:t>
      </w:r>
      <w:r w:rsidR="00A03C9A" w:rsidRPr="00B7396A">
        <w:rPr>
          <w:rFonts w:cs="SimSun"/>
          <w:lang w:eastAsia="zh-CN"/>
        </w:rPr>
        <w:t>dissolved</w:t>
      </w:r>
      <w:r w:rsidR="00402C16" w:rsidRPr="00B7396A">
        <w:rPr>
          <w:rFonts w:cs="SimSun"/>
          <w:lang w:eastAsia="zh-CN"/>
        </w:rPr>
        <w:t>-</w:t>
      </w:r>
      <w:r w:rsidR="00A03C9A" w:rsidRPr="00B7396A">
        <w:rPr>
          <w:rFonts w:cs="SimSun"/>
          <w:lang w:eastAsia="zh-CN"/>
        </w:rPr>
        <w:t>oxygen</w:t>
      </w:r>
      <w:r w:rsidR="00402C16" w:rsidRPr="00B7396A">
        <w:rPr>
          <w:rFonts w:cs="SimSun"/>
          <w:lang w:eastAsia="zh-CN"/>
        </w:rPr>
        <w:t xml:space="preserve"> content.</w:t>
      </w:r>
      <w:r w:rsidRPr="00B7396A">
        <w:rPr>
          <w:rFonts w:cs="SimSun"/>
          <w:lang w:eastAsia="zh-CN"/>
        </w:rPr>
        <w:t xml:space="preserve">  </w:t>
      </w:r>
      <w:r w:rsidR="00A03C9A" w:rsidRPr="00B7396A">
        <w:rPr>
          <w:rFonts w:cs="SimSun"/>
          <w:lang w:eastAsia="zh-CN"/>
        </w:rPr>
        <w:t xml:space="preserve">The first is the variation the producer </w:t>
      </w:r>
      <w:r w:rsidR="002C110E" w:rsidRPr="00B7396A">
        <w:rPr>
          <w:rFonts w:cs="SimSun"/>
          <w:lang w:eastAsia="zh-CN"/>
        </w:rPr>
        <w:t xml:space="preserve">anticipates around his naïve (pre-research) outcome expectation </w:t>
      </w:r>
      <w:r w:rsidR="00ED13B2" w:rsidRPr="00B7396A">
        <w:rPr>
          <w:rFonts w:cs="SimSun"/>
          <w:position w:val="-12"/>
          <w:lang w:eastAsia="zh-CN"/>
        </w:rPr>
        <w:object w:dxaOrig="800" w:dyaOrig="360">
          <v:shape id="_x0000_i1056" type="#_x0000_t75" style="width:39.75pt;height:18pt" o:ole="">
            <v:imagedata r:id="rId73" o:title=""/>
          </v:shape>
          <o:OLEObject Type="Embed" ProgID="Equation.DSMT4" ShapeID="_x0000_i1056" DrawAspect="Content" ObjectID="_1358241497" r:id="rId74"/>
        </w:object>
      </w:r>
      <w:r w:rsidR="002C110E" w:rsidRPr="00B7396A">
        <w:rPr>
          <w:rFonts w:cs="SimSun"/>
          <w:lang w:eastAsia="zh-CN"/>
        </w:rPr>
        <w:t xml:space="preserve">, but </w:t>
      </w:r>
      <w:r w:rsidR="00402C16" w:rsidRPr="00B7396A">
        <w:rPr>
          <w:rFonts w:cs="SimSun"/>
          <w:lang w:eastAsia="zh-CN"/>
        </w:rPr>
        <w:t xml:space="preserve">evaluated </w:t>
      </w:r>
      <w:r w:rsidR="002C110E" w:rsidRPr="00B7396A">
        <w:rPr>
          <w:rFonts w:cs="SimSun"/>
          <w:lang w:eastAsia="zh-CN"/>
        </w:rPr>
        <w:t xml:space="preserve">in terms of the outcome probabilities </w:t>
      </w:r>
      <w:r w:rsidR="002C110E" w:rsidRPr="00B7396A">
        <w:rPr>
          <w:rFonts w:cs="SimSun"/>
          <w:i/>
          <w:lang w:eastAsia="zh-CN"/>
        </w:rPr>
        <w:t xml:space="preserve">estimated </w:t>
      </w:r>
      <w:r w:rsidR="00B95140" w:rsidRPr="00B7396A">
        <w:rPr>
          <w:rFonts w:cs="SimSun"/>
          <w:i/>
          <w:lang w:eastAsia="zh-CN"/>
        </w:rPr>
        <w:t>from the new</w:t>
      </w:r>
      <w:r w:rsidR="002C110E" w:rsidRPr="00B7396A">
        <w:rPr>
          <w:rFonts w:cs="SimSun"/>
          <w:i/>
          <w:lang w:eastAsia="zh-CN"/>
        </w:rPr>
        <w:t xml:space="preserve"> </w:t>
      </w:r>
      <w:r w:rsidR="00B95140" w:rsidRPr="00B7396A">
        <w:rPr>
          <w:rFonts w:cs="SimSun"/>
          <w:i/>
          <w:lang w:eastAsia="zh-CN"/>
        </w:rPr>
        <w:t>research</w:t>
      </w:r>
      <w:r w:rsidR="0072625C" w:rsidRPr="00B7396A">
        <w:rPr>
          <w:rFonts w:cs="SimSun"/>
          <w:lang w:eastAsia="zh-CN"/>
        </w:rPr>
        <w:t>.  This model</w:t>
      </w:r>
      <w:r w:rsidR="00402C16" w:rsidRPr="00B7396A">
        <w:rPr>
          <w:rFonts w:cs="SimSun"/>
          <w:lang w:eastAsia="zh-CN"/>
        </w:rPr>
        <w:t>s</w:t>
      </w:r>
      <w:r w:rsidR="0072625C" w:rsidRPr="00B7396A">
        <w:rPr>
          <w:rFonts w:cs="SimSun"/>
          <w:lang w:eastAsia="zh-CN"/>
        </w:rPr>
        <w:t xml:space="preserve"> the risk which the </w:t>
      </w:r>
      <w:r w:rsidR="00402C16" w:rsidRPr="00B7396A">
        <w:rPr>
          <w:rFonts w:cs="SimSun"/>
          <w:lang w:eastAsia="zh-CN"/>
        </w:rPr>
        <w:t xml:space="preserve">new study </w:t>
      </w:r>
      <w:r w:rsidR="0072625C" w:rsidRPr="00B7396A">
        <w:rPr>
          <w:rFonts w:cs="SimSun"/>
          <w:lang w:eastAsia="zh-CN"/>
        </w:rPr>
        <w:t xml:space="preserve">shows the producer </w:t>
      </w:r>
      <w:r w:rsidR="00B95140" w:rsidRPr="00B7396A">
        <w:rPr>
          <w:rFonts w:cs="SimSun"/>
          <w:lang w:eastAsia="zh-CN"/>
        </w:rPr>
        <w:t xml:space="preserve">actually was </w:t>
      </w:r>
      <w:r w:rsidR="0072625C" w:rsidRPr="00B7396A">
        <w:rPr>
          <w:rFonts w:cs="SimSun"/>
          <w:lang w:eastAsia="zh-CN"/>
        </w:rPr>
        <w:t>fac</w:t>
      </w:r>
      <w:r w:rsidR="00B95140" w:rsidRPr="00B7396A">
        <w:rPr>
          <w:rFonts w:cs="SimSun"/>
          <w:lang w:eastAsia="zh-CN"/>
        </w:rPr>
        <w:t>ing</w:t>
      </w:r>
      <w:r w:rsidR="0072625C" w:rsidRPr="00B7396A">
        <w:rPr>
          <w:rFonts w:cs="SimSun"/>
          <w:lang w:eastAsia="zh-CN"/>
        </w:rPr>
        <w:t xml:space="preserve"> when she use</w:t>
      </w:r>
      <w:r w:rsidR="00B95140" w:rsidRPr="00B7396A">
        <w:rPr>
          <w:rFonts w:cs="SimSun"/>
          <w:lang w:eastAsia="zh-CN"/>
        </w:rPr>
        <w:t>d</w:t>
      </w:r>
      <w:r w:rsidR="0072625C" w:rsidRPr="00B7396A">
        <w:rPr>
          <w:rFonts w:cs="SimSun"/>
          <w:lang w:eastAsia="zh-CN"/>
        </w:rPr>
        <w:t xml:space="preserve"> the pre-</w:t>
      </w:r>
      <w:r w:rsidR="00B95140" w:rsidRPr="00B7396A">
        <w:rPr>
          <w:rFonts w:cs="SimSun"/>
          <w:lang w:eastAsia="zh-CN"/>
        </w:rPr>
        <w:t>research</w:t>
      </w:r>
      <w:r w:rsidR="0072625C" w:rsidRPr="00B7396A">
        <w:rPr>
          <w:rFonts w:cs="SimSun"/>
          <w:lang w:eastAsia="zh-CN"/>
        </w:rPr>
        <w:t xml:space="preserve"> outcome expectation.  It is </w:t>
      </w:r>
      <w:r w:rsidR="00B95140" w:rsidRPr="00B7396A">
        <w:rPr>
          <w:rFonts w:cs="SimSun"/>
          <w:lang w:eastAsia="zh-CN"/>
        </w:rPr>
        <w:t xml:space="preserve">the </w:t>
      </w:r>
      <w:r w:rsidR="00402C16" w:rsidRPr="00B7396A">
        <w:rPr>
          <w:rFonts w:cs="SimSun"/>
          <w:lang w:eastAsia="zh-CN"/>
        </w:rPr>
        <w:t xml:space="preserve">post-study </w:t>
      </w:r>
      <w:r w:rsidR="00B95140" w:rsidRPr="00B7396A">
        <w:rPr>
          <w:rFonts w:cs="SimSun"/>
          <w:lang w:eastAsia="zh-CN"/>
        </w:rPr>
        <w:t xml:space="preserve">view of </w:t>
      </w:r>
      <w:r w:rsidR="00402C16" w:rsidRPr="00B7396A">
        <w:rPr>
          <w:rFonts w:cs="SimSun"/>
          <w:lang w:eastAsia="zh-CN"/>
        </w:rPr>
        <w:t xml:space="preserve">the producer’s </w:t>
      </w:r>
      <w:r w:rsidR="00B95140" w:rsidRPr="00B7396A">
        <w:rPr>
          <w:rFonts w:cs="SimSun"/>
          <w:lang w:eastAsia="zh-CN"/>
        </w:rPr>
        <w:t>pre-</w:t>
      </w:r>
      <w:r w:rsidR="00402C16" w:rsidRPr="00B7396A">
        <w:rPr>
          <w:rFonts w:cs="SimSun"/>
          <w:lang w:eastAsia="zh-CN"/>
        </w:rPr>
        <w:t>study</w:t>
      </w:r>
      <w:r w:rsidR="00B95140" w:rsidRPr="00B7396A">
        <w:rPr>
          <w:rFonts w:cs="SimSun"/>
          <w:lang w:eastAsia="zh-CN"/>
        </w:rPr>
        <w:t xml:space="preserve"> thinking.  </w:t>
      </w:r>
      <w:r w:rsidR="00D246C9" w:rsidRPr="00B7396A">
        <w:rPr>
          <w:rFonts w:cs="SimSun"/>
          <w:lang w:eastAsia="zh-CN"/>
        </w:rPr>
        <w:t xml:space="preserve">The </w:t>
      </w:r>
      <w:r w:rsidR="00402C16" w:rsidRPr="00B7396A">
        <w:rPr>
          <w:rFonts w:cs="SimSun"/>
          <w:lang w:eastAsia="zh-CN"/>
        </w:rPr>
        <w:t xml:space="preserve">relevant measure of this variation is </w:t>
      </w:r>
      <w:r w:rsidR="00ED13B2" w:rsidRPr="00B7396A">
        <w:rPr>
          <w:rFonts w:cs="SimSun"/>
          <w:lang w:eastAsia="zh-CN"/>
        </w:rPr>
        <w:t xml:space="preserve">the outcome </w:t>
      </w:r>
      <w:r w:rsidR="00896131" w:rsidRPr="00B7396A">
        <w:rPr>
          <w:rFonts w:cs="SimSun"/>
          <w:lang w:eastAsia="zh-CN"/>
        </w:rPr>
        <w:t>varian</w:t>
      </w:r>
      <w:r w:rsidR="00ED13B2" w:rsidRPr="00B7396A">
        <w:rPr>
          <w:rFonts w:cs="SimSun"/>
          <w:lang w:eastAsia="zh-CN"/>
        </w:rPr>
        <w:t xml:space="preserve">ce expressed in terms of </w:t>
      </w:r>
      <w:r w:rsidR="00A2371D" w:rsidRPr="00B7396A">
        <w:rPr>
          <w:rFonts w:cs="SimSun"/>
          <w:lang w:eastAsia="zh-CN"/>
        </w:rPr>
        <w:t>the outcome deviations from the pre-study mean</w:t>
      </w:r>
      <w:r w:rsidR="00896131" w:rsidRPr="00B7396A">
        <w:rPr>
          <w:rFonts w:cs="SimSun"/>
          <w:lang w:eastAsia="zh-CN"/>
        </w:rPr>
        <w:t xml:space="preserve"> </w:t>
      </w:r>
      <w:r w:rsidR="00A2371D" w:rsidRPr="00B7396A">
        <w:rPr>
          <w:rFonts w:cs="SimSun"/>
          <w:lang w:eastAsia="zh-CN"/>
        </w:rPr>
        <w:t xml:space="preserve">but </w:t>
      </w:r>
      <w:r w:rsidR="004017E6" w:rsidRPr="00B7396A">
        <w:rPr>
          <w:rFonts w:cs="SimSun"/>
          <w:lang w:eastAsia="zh-CN"/>
        </w:rPr>
        <w:t>in which the outcome levels (</w:t>
      </w:r>
      <w:r w:rsidR="004017E6" w:rsidRPr="00B7396A">
        <w:rPr>
          <w:rFonts w:cs="SimSun"/>
          <w:position w:val="-4"/>
          <w:lang w:eastAsia="zh-CN"/>
        </w:rPr>
        <w:object w:dxaOrig="279" w:dyaOrig="260">
          <v:shape id="_x0000_i1057" type="#_x0000_t75" style="width:14.25pt;height:12.75pt" o:ole="">
            <v:imagedata r:id="rId65" o:title=""/>
          </v:shape>
          <o:OLEObject Type="Embed" ProgID="Equation.DSMT4" ShapeID="_x0000_i1057" DrawAspect="Content" ObjectID="_1358241498" r:id="rId75"/>
        </w:object>
      </w:r>
      <w:r w:rsidR="004017E6" w:rsidRPr="00B7396A">
        <w:rPr>
          <w:rFonts w:cs="SimSun"/>
          <w:lang w:eastAsia="zh-CN"/>
        </w:rPr>
        <w:t xml:space="preserve">, </w:t>
      </w:r>
      <w:r w:rsidR="004017E6" w:rsidRPr="00B7396A">
        <w:rPr>
          <w:rFonts w:cs="SimSun"/>
          <w:position w:val="-4"/>
          <w:lang w:eastAsia="zh-CN"/>
        </w:rPr>
        <w:object w:dxaOrig="380" w:dyaOrig="260">
          <v:shape id="_x0000_i1058" type="#_x0000_t75" style="width:18.75pt;height:12.75pt" o:ole="">
            <v:imagedata r:id="rId67" o:title=""/>
          </v:shape>
          <o:OLEObject Type="Embed" ProgID="Equation.DSMT4" ShapeID="_x0000_i1058" DrawAspect="Content" ObjectID="_1358241499" r:id="rId76"/>
        </w:object>
      </w:r>
      <w:r w:rsidR="004017E6" w:rsidRPr="00B7396A">
        <w:rPr>
          <w:rFonts w:cs="SimSun"/>
          <w:lang w:eastAsia="zh-CN"/>
        </w:rPr>
        <w:t xml:space="preserve">, </w:t>
      </w:r>
      <w:r w:rsidR="004017E6" w:rsidRPr="00B7396A">
        <w:rPr>
          <w:rFonts w:cs="SimSun"/>
          <w:position w:val="-4"/>
          <w:lang w:eastAsia="zh-CN"/>
        </w:rPr>
        <w:object w:dxaOrig="360" w:dyaOrig="260">
          <v:shape id="_x0000_i1059" type="#_x0000_t75" style="width:18pt;height:12.75pt" o:ole="">
            <v:imagedata r:id="rId69" o:title=""/>
          </v:shape>
          <o:OLEObject Type="Embed" ProgID="Equation.DSMT4" ShapeID="_x0000_i1059" DrawAspect="Content" ObjectID="_1358241500" r:id="rId77"/>
        </w:object>
      </w:r>
      <w:r w:rsidR="004017E6" w:rsidRPr="00B7396A">
        <w:rPr>
          <w:rFonts w:cs="SimSun"/>
          <w:lang w:eastAsia="zh-CN"/>
        </w:rPr>
        <w:t xml:space="preserve">) are those the study indicates are associated with </w:t>
      </w:r>
      <w:r w:rsidR="00A2371D" w:rsidRPr="00B7396A">
        <w:rPr>
          <w:rFonts w:cs="SimSun"/>
          <w:lang w:eastAsia="zh-CN"/>
        </w:rPr>
        <w:t>the given probability levels</w:t>
      </w:r>
      <w:r w:rsidR="004017E6" w:rsidRPr="00B7396A">
        <w:rPr>
          <w:rFonts w:cs="SimSun"/>
          <w:lang w:eastAsia="zh-CN"/>
        </w:rPr>
        <w:t xml:space="preserve"> – that is, essentially in terms of the </w:t>
      </w:r>
      <w:r w:rsidR="0049004B" w:rsidRPr="00B7396A">
        <w:rPr>
          <w:rFonts w:cs="SimSun"/>
          <w:i/>
          <w:lang w:eastAsia="zh-CN"/>
        </w:rPr>
        <w:t>posterior</w:t>
      </w:r>
      <w:r w:rsidR="004017E6" w:rsidRPr="00B7396A">
        <w:rPr>
          <w:rFonts w:cs="SimSun"/>
          <w:lang w:eastAsia="zh-CN"/>
        </w:rPr>
        <w:t xml:space="preserve"> probability distribution</w:t>
      </w:r>
      <w:r w:rsidR="00B7396A" w:rsidRPr="00B7396A">
        <w:rPr>
          <w:rFonts w:cs="SimSun"/>
          <w:lang w:eastAsia="zh-CN"/>
        </w:rPr>
        <w:t>:</w:t>
      </w:r>
    </w:p>
    <w:p w:rsidR="0051548C" w:rsidRDefault="00F74C10" w:rsidP="00A44A98">
      <w:pPr>
        <w:spacing w:before="240" w:after="240" w:line="480" w:lineRule="auto"/>
        <w:rPr>
          <w:rFonts w:cs="SimSun"/>
          <w:lang w:eastAsia="zh-CN"/>
        </w:rPr>
      </w:pPr>
      <w:r>
        <w:rPr>
          <w:rFonts w:cs="SimSun"/>
          <w:position w:val="-8"/>
          <w:lang w:eastAsia="zh-CN"/>
        </w:rPr>
        <w:t>(9</w:t>
      </w:r>
      <w:r w:rsidR="009B532C">
        <w:rPr>
          <w:rFonts w:cs="SimSun"/>
          <w:position w:val="-8"/>
          <w:lang w:eastAsia="zh-CN"/>
        </w:rPr>
        <w:t>)</w:t>
      </w:r>
      <w:r w:rsidR="009B532C">
        <w:rPr>
          <w:rFonts w:cs="SimSun"/>
          <w:position w:val="-8"/>
          <w:lang w:eastAsia="zh-CN"/>
        </w:rPr>
        <w:tab/>
      </w:r>
      <w:r w:rsidR="00B7396A" w:rsidRPr="00372273">
        <w:rPr>
          <w:rFonts w:cs="SimSun"/>
          <w:position w:val="-12"/>
          <w:lang w:eastAsia="zh-CN"/>
        </w:rPr>
        <w:object w:dxaOrig="7080" w:dyaOrig="380">
          <v:shape id="_x0000_i1060" type="#_x0000_t75" style="width:354pt;height:18.75pt" o:ole="">
            <v:imagedata r:id="rId78" o:title=""/>
          </v:shape>
          <o:OLEObject Type="Embed" ProgID="Equation.DSMT4" ShapeID="_x0000_i1060" DrawAspect="Content" ObjectID="_1358241501" r:id="rId79"/>
        </w:object>
      </w:r>
    </w:p>
    <w:p w:rsidR="00372273" w:rsidRDefault="0049004B" w:rsidP="00036A04">
      <w:pPr>
        <w:spacing w:line="480" w:lineRule="auto"/>
        <w:rPr>
          <w:rFonts w:cs="SimSun"/>
          <w:lang w:eastAsia="zh-CN"/>
        </w:rPr>
      </w:pPr>
      <w:r>
        <w:rPr>
          <w:rFonts w:cs="SimSun"/>
          <w:lang w:eastAsia="zh-CN"/>
        </w:rPr>
        <w:t>The appropriate variance of the posterior distribution is based on the respective distances between the posterior mean and the same three outcomes predicted.  This of course is the posterior variance itself:</w:t>
      </w:r>
    </w:p>
    <w:p w:rsidR="0051548C" w:rsidRDefault="00F74C10" w:rsidP="00A44A98">
      <w:pPr>
        <w:spacing w:before="240" w:after="240" w:line="480" w:lineRule="auto"/>
        <w:rPr>
          <w:rFonts w:cs="SimSun"/>
          <w:lang w:eastAsia="zh-CN"/>
        </w:rPr>
      </w:pPr>
      <w:r>
        <w:rPr>
          <w:rFonts w:cs="SimSun"/>
          <w:position w:val="-8"/>
          <w:lang w:eastAsia="zh-CN"/>
        </w:rPr>
        <w:lastRenderedPageBreak/>
        <w:t>(10</w:t>
      </w:r>
      <w:r w:rsidR="009B532C">
        <w:rPr>
          <w:rFonts w:cs="SimSun"/>
          <w:position w:val="-8"/>
          <w:lang w:eastAsia="zh-CN"/>
        </w:rPr>
        <w:t>)</w:t>
      </w:r>
      <w:r w:rsidR="009B532C">
        <w:rPr>
          <w:rFonts w:cs="SimSun"/>
          <w:position w:val="-8"/>
          <w:lang w:eastAsia="zh-CN"/>
        </w:rPr>
        <w:tab/>
      </w:r>
      <w:r w:rsidR="00ED13B2" w:rsidRPr="00372273">
        <w:rPr>
          <w:rFonts w:cs="SimSun"/>
          <w:position w:val="-12"/>
          <w:lang w:eastAsia="zh-CN"/>
        </w:rPr>
        <w:object w:dxaOrig="6979" w:dyaOrig="380">
          <v:shape id="_x0000_i1061" type="#_x0000_t75" style="width:348pt;height:18.75pt" o:ole="">
            <v:imagedata r:id="rId80" o:title=""/>
          </v:shape>
          <o:OLEObject Type="Embed" ProgID="Equation.DSMT4" ShapeID="_x0000_i1061" DrawAspect="Content" ObjectID="_1358241502" r:id="rId81"/>
        </w:object>
      </w:r>
    </w:p>
    <w:p w:rsidR="0051548C" w:rsidRDefault="0049004B" w:rsidP="00036A04">
      <w:pPr>
        <w:spacing w:line="480" w:lineRule="auto"/>
        <w:rPr>
          <w:rFonts w:cs="SimSun"/>
          <w:lang w:eastAsia="zh-CN"/>
        </w:rPr>
      </w:pPr>
      <w:r>
        <w:rPr>
          <w:rFonts w:cs="SimSun"/>
          <w:lang w:eastAsia="zh-CN"/>
        </w:rPr>
        <w:t>The knowledge or u</w:t>
      </w:r>
      <w:r w:rsidR="001519B9">
        <w:rPr>
          <w:rFonts w:cs="SimSun"/>
          <w:lang w:eastAsia="zh-CN"/>
        </w:rPr>
        <w:t>tility gained from the research is</w:t>
      </w:r>
      <w:r w:rsidR="0051548C">
        <w:rPr>
          <w:rFonts w:cs="SimSun"/>
          <w:lang w:eastAsia="zh-CN"/>
        </w:rPr>
        <w:t xml:space="preserve"> the difference between </w:t>
      </w:r>
      <w:r w:rsidR="006B24F4">
        <w:rPr>
          <w:rFonts w:cs="SimSun"/>
          <w:lang w:eastAsia="zh-CN"/>
        </w:rPr>
        <w:t>this prior and posterior variance:</w:t>
      </w:r>
    </w:p>
    <w:p w:rsidR="0051548C" w:rsidRDefault="00F74C10" w:rsidP="00A44A98">
      <w:pPr>
        <w:spacing w:before="240" w:after="240" w:line="480" w:lineRule="auto"/>
        <w:rPr>
          <w:rFonts w:cs="SimSun"/>
          <w:lang w:eastAsia="zh-CN"/>
        </w:rPr>
      </w:pPr>
      <w:r>
        <w:rPr>
          <w:rFonts w:cs="SimSun"/>
          <w:position w:val="-8"/>
          <w:lang w:eastAsia="zh-CN"/>
        </w:rPr>
        <w:t>(11</w:t>
      </w:r>
      <w:r w:rsidR="009B532C">
        <w:rPr>
          <w:rFonts w:cs="SimSun"/>
          <w:position w:val="-8"/>
          <w:lang w:eastAsia="zh-CN"/>
        </w:rPr>
        <w:t>)</w:t>
      </w:r>
      <w:r w:rsidR="009B532C">
        <w:rPr>
          <w:rFonts w:cs="SimSun"/>
          <w:position w:val="-8"/>
          <w:lang w:eastAsia="zh-CN"/>
        </w:rPr>
        <w:tab/>
      </w:r>
      <w:r w:rsidR="00A44A98" w:rsidRPr="00A806C1">
        <w:rPr>
          <w:rFonts w:cs="SimSun"/>
          <w:position w:val="-14"/>
          <w:lang w:eastAsia="zh-CN"/>
        </w:rPr>
        <w:object w:dxaOrig="6920" w:dyaOrig="400">
          <v:shape id="_x0000_i1062" type="#_x0000_t75" style="width:347.25pt;height:19.5pt" o:ole="">
            <v:imagedata r:id="rId82" o:title=""/>
          </v:shape>
          <o:OLEObject Type="Embed" ProgID="Equation.DSMT4" ShapeID="_x0000_i1062" DrawAspect="Content" ObjectID="_1358241503" r:id="rId83"/>
        </w:object>
      </w:r>
    </w:p>
    <w:p w:rsidR="0051548C" w:rsidRDefault="00896131" w:rsidP="00036A04">
      <w:pPr>
        <w:spacing w:line="480" w:lineRule="auto"/>
        <w:rPr>
          <w:rFonts w:cs="SimSun"/>
          <w:lang w:eastAsia="zh-CN"/>
        </w:rPr>
      </w:pPr>
      <w:r>
        <w:rPr>
          <w:rFonts w:cs="SimSun"/>
          <w:lang w:eastAsia="zh-CN"/>
        </w:rPr>
        <w:t xml:space="preserve">It is easy to </w:t>
      </w:r>
      <w:r w:rsidR="006B24F4">
        <w:rPr>
          <w:rFonts w:cs="SimSun"/>
          <w:lang w:eastAsia="zh-CN"/>
        </w:rPr>
        <w:t xml:space="preserve">show that this difference is non-negative, so that the knowledge gained from properly conducted research can never be negative.  </w:t>
      </w:r>
    </w:p>
    <w:p w:rsidR="007439D8" w:rsidRDefault="00210242" w:rsidP="00036A04">
      <w:pPr>
        <w:spacing w:line="480" w:lineRule="auto"/>
        <w:ind w:firstLine="720"/>
        <w:rPr>
          <w:rFonts w:cs="Times New Roman"/>
          <w:szCs w:val="24"/>
        </w:rPr>
      </w:pPr>
      <w:r>
        <w:rPr>
          <w:rFonts w:cs="Times New Roman"/>
          <w:szCs w:val="24"/>
        </w:rPr>
        <w:t xml:space="preserve">Data on AquaFish research treatments, probabilities, and inputs were provided by </w:t>
      </w:r>
      <w:r w:rsidR="002570E0">
        <w:rPr>
          <w:rFonts w:cs="Times New Roman"/>
          <w:szCs w:val="24"/>
        </w:rPr>
        <w:t>the host-country A</w:t>
      </w:r>
      <w:r w:rsidR="00B328D8">
        <w:rPr>
          <w:rFonts w:cs="Times New Roman"/>
          <w:szCs w:val="24"/>
        </w:rPr>
        <w:t>quaFish investigators</w:t>
      </w:r>
      <w:r w:rsidR="00D57504">
        <w:rPr>
          <w:rFonts w:cs="Times New Roman"/>
          <w:szCs w:val="24"/>
        </w:rPr>
        <w:t xml:space="preserve">.  Coordinators were (by US university base of respective project): </w:t>
      </w:r>
      <w:r w:rsidR="002570E0">
        <w:rPr>
          <w:rFonts w:cs="Times New Roman"/>
          <w:szCs w:val="24"/>
        </w:rPr>
        <w:t xml:space="preserve"> Steven Amisah (Purdue U), Gertrude Atukunda (Auburn U), Remedios Bolivar (North Carolina Stat U), Wilfrido Contreras (U Arizona), </w:t>
      </w:r>
      <w:r w:rsidR="00D57504">
        <w:rPr>
          <w:rFonts w:cs="Times New Roman"/>
          <w:szCs w:val="24"/>
        </w:rPr>
        <w:t>Eladio Gaxiola (U of Hawaii), So Nam (U of Connecticut), and Gao Zexia (U of Michigan).  Our study cover</w:t>
      </w:r>
      <w:r w:rsidR="00F65B40">
        <w:rPr>
          <w:rFonts w:cs="Times New Roman"/>
          <w:szCs w:val="24"/>
        </w:rPr>
        <w:t>s</w:t>
      </w:r>
      <w:r w:rsidR="00D57504">
        <w:rPr>
          <w:rFonts w:cs="Times New Roman"/>
          <w:szCs w:val="24"/>
        </w:rPr>
        <w:t xml:space="preserve"> </w:t>
      </w:r>
      <w:r w:rsidR="00B328D8">
        <w:rPr>
          <w:rFonts w:cs="Times New Roman"/>
          <w:szCs w:val="24"/>
        </w:rPr>
        <w:t xml:space="preserve">55 </w:t>
      </w:r>
      <w:r w:rsidR="00020C9D" w:rsidRPr="00B02780">
        <w:rPr>
          <w:rFonts w:cs="Times New Roman"/>
          <w:szCs w:val="24"/>
        </w:rPr>
        <w:t>aquacultural resea</w:t>
      </w:r>
      <w:r w:rsidR="00D57504">
        <w:rPr>
          <w:rFonts w:cs="Times New Roman"/>
          <w:szCs w:val="24"/>
        </w:rPr>
        <w:t>rch studies conducted during AquaFish’s</w:t>
      </w:r>
      <w:r w:rsidR="00020C9D" w:rsidRPr="00B02780">
        <w:rPr>
          <w:rFonts w:cs="Times New Roman"/>
          <w:szCs w:val="24"/>
        </w:rPr>
        <w:t xml:space="preserve"> 2007 – 20</w:t>
      </w:r>
      <w:r w:rsidR="00D57504">
        <w:rPr>
          <w:rFonts w:cs="Times New Roman"/>
          <w:szCs w:val="24"/>
        </w:rPr>
        <w:t>09 and 2009 – 2011 phases</w:t>
      </w:r>
      <w:r w:rsidR="00B328D8">
        <w:rPr>
          <w:rFonts w:cs="Times New Roman"/>
          <w:szCs w:val="24"/>
        </w:rPr>
        <w:t>.  Twenty-seven of these were conducted during</w:t>
      </w:r>
      <w:r w:rsidR="00D57504">
        <w:rPr>
          <w:rFonts w:cs="Times New Roman"/>
          <w:szCs w:val="24"/>
        </w:rPr>
        <w:t xml:space="preserve"> the 2007 – 2009 phase and </w:t>
      </w:r>
      <w:r w:rsidR="006E6C62">
        <w:rPr>
          <w:rFonts w:cs="Times New Roman"/>
          <w:szCs w:val="24"/>
        </w:rPr>
        <w:t>28</w:t>
      </w:r>
      <w:r w:rsidR="00F65B40">
        <w:rPr>
          <w:rFonts w:cs="Times New Roman"/>
          <w:szCs w:val="24"/>
        </w:rPr>
        <w:t xml:space="preserve"> in the 2009 – 2011 phase.  </w:t>
      </w:r>
    </w:p>
    <w:p w:rsidR="007439D8" w:rsidRDefault="007439D8" w:rsidP="00036A04">
      <w:pPr>
        <w:spacing w:line="480" w:lineRule="auto"/>
        <w:ind w:firstLine="720"/>
        <w:rPr>
          <w:rFonts w:cs="Times New Roman"/>
          <w:szCs w:val="24"/>
        </w:rPr>
      </w:pPr>
    </w:p>
    <w:p w:rsidR="0048191E" w:rsidRPr="007439D8" w:rsidRDefault="0048191E" w:rsidP="007439D8">
      <w:pPr>
        <w:rPr>
          <w:b/>
        </w:rPr>
      </w:pPr>
      <w:r w:rsidRPr="007439D8">
        <w:rPr>
          <w:b/>
        </w:rPr>
        <w:br w:type="page"/>
      </w:r>
    </w:p>
    <w:p w:rsidR="0048191E" w:rsidRPr="00475E03" w:rsidRDefault="0048191E" w:rsidP="00A455F3">
      <w:pPr>
        <w:spacing w:after="240" w:line="480" w:lineRule="auto"/>
        <w:jc w:val="center"/>
        <w:rPr>
          <w:b/>
        </w:rPr>
      </w:pPr>
      <w:r w:rsidRPr="00475E03">
        <w:rPr>
          <w:b/>
        </w:rPr>
        <w:lastRenderedPageBreak/>
        <w:t>References</w:t>
      </w:r>
    </w:p>
    <w:p w:rsidR="00922CCE" w:rsidRDefault="00922CCE" w:rsidP="00A44A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bCs/>
        </w:rPr>
      </w:pPr>
      <w:r>
        <w:rPr>
          <w:bCs/>
        </w:rPr>
        <w:t xml:space="preserve">Adams, and Griliches.  1996.  </w:t>
      </w:r>
      <w:r w:rsidR="00E9637A">
        <w:rPr>
          <w:bCs/>
        </w:rPr>
        <w:t>“Research Productivity in a System of Universities.”  NBER Working Paper No. 5833.</w:t>
      </w:r>
    </w:p>
    <w:p w:rsidR="009926D3" w:rsidRDefault="009926D3" w:rsidP="00A44A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pPr>
      <w:r w:rsidRPr="00BA1FF6">
        <w:t xml:space="preserve">Buccola, S.T., D. Ervin, and H. Yang.  “Research Choice and Finance in University Bioscience.”  </w:t>
      </w:r>
      <w:r w:rsidRPr="00BA1FF6">
        <w:rPr>
          <w:i/>
        </w:rPr>
        <w:t>Southern Economic Journal</w:t>
      </w:r>
      <w:r>
        <w:t xml:space="preserve"> 75 (April 2009):  1238 - 1255.</w:t>
      </w:r>
    </w:p>
    <w:p w:rsidR="002B0AA3" w:rsidRPr="002115B7" w:rsidRDefault="002B0AA3" w:rsidP="00A44A98">
      <w:pPr>
        <w:spacing w:line="480" w:lineRule="auto"/>
        <w:ind w:left="720" w:hanging="720"/>
      </w:pPr>
      <w:r w:rsidRPr="002115B7">
        <w:t xml:space="preserve">Carlin, B.P., and T.A. Louis.  1996.  </w:t>
      </w:r>
      <w:r w:rsidRPr="002115B7">
        <w:rPr>
          <w:i/>
        </w:rPr>
        <w:t>Bayes and Empirical Bayes Methods for Empirical Analysis</w:t>
      </w:r>
      <w:r w:rsidRPr="002115B7">
        <w:t>.  London:  Chapman and Hall.</w:t>
      </w:r>
    </w:p>
    <w:p w:rsidR="002B0AA3" w:rsidRDefault="002B0AA3" w:rsidP="00A44A98">
      <w:pPr>
        <w:spacing w:line="480" w:lineRule="auto"/>
        <w:ind w:left="720" w:hanging="720"/>
      </w:pPr>
      <w:r w:rsidRPr="002115B7">
        <w:t xml:space="preserve">CGIAR Science Council.  2009.  </w:t>
      </w:r>
      <w:r w:rsidRPr="002115B7">
        <w:rPr>
          <w:i/>
          <w:iCs/>
        </w:rPr>
        <w:t>Defining and Refining Good Practice in Ex-Post Impact Assessment – Synthesis Report.</w:t>
      </w:r>
      <w:r w:rsidRPr="002115B7">
        <w:t xml:space="preserve"> CGIAR Science Council Secretariat: Rome, Italy.</w:t>
      </w:r>
    </w:p>
    <w:p w:rsidR="00372509" w:rsidRPr="002115B7" w:rsidRDefault="00372509" w:rsidP="00A44A98">
      <w:pPr>
        <w:spacing w:line="480" w:lineRule="auto"/>
        <w:ind w:left="684" w:hanging="684"/>
      </w:pPr>
      <w:r w:rsidRPr="002115B7">
        <w:t xml:space="preserve">Fare, R., and D. Primont.  1995.  </w:t>
      </w:r>
      <w:r w:rsidRPr="002115B7">
        <w:rPr>
          <w:i/>
        </w:rPr>
        <w:t>Multi-Output and Duality:  Theory and Application</w:t>
      </w:r>
      <w:r w:rsidRPr="002115B7">
        <w:t>.  Boston:  Kluwer-Nijhiff.</w:t>
      </w:r>
    </w:p>
    <w:p w:rsidR="002B0AA3" w:rsidRPr="002115B7" w:rsidRDefault="002B0AA3" w:rsidP="00A44A98">
      <w:pPr>
        <w:spacing w:line="480" w:lineRule="auto"/>
        <w:ind w:left="684" w:hanging="684"/>
      </w:pPr>
      <w:r w:rsidRPr="002115B7">
        <w:t xml:space="preserve">Groot, T. and T. Garcia-Valderrama.  2006.  “Research Quality and Efficiency: An Analysis of Assessments and Management Issues in Dutch Economics and Business Research Programs.” </w:t>
      </w:r>
      <w:r w:rsidRPr="002115B7">
        <w:rPr>
          <w:i/>
        </w:rPr>
        <w:t>Research Policy</w:t>
      </w:r>
      <w:r w:rsidRPr="002115B7">
        <w:t xml:space="preserve"> 35:  1362 - 1376.</w:t>
      </w:r>
    </w:p>
    <w:p w:rsidR="00461878" w:rsidRDefault="00461878" w:rsidP="00A44A98">
      <w:pPr>
        <w:spacing w:line="480" w:lineRule="auto"/>
        <w:ind w:left="684" w:hanging="684"/>
        <w:rPr>
          <w:rStyle w:val="HTMLCite"/>
          <w:i w:val="0"/>
        </w:rPr>
      </w:pPr>
      <w:r>
        <w:rPr>
          <w:rStyle w:val="HTMLCite"/>
          <w:i w:val="0"/>
        </w:rPr>
        <w:t xml:space="preserve">Robert, C.P.  2001.  </w:t>
      </w:r>
      <w:r w:rsidRPr="00461878">
        <w:rPr>
          <w:rStyle w:val="HTMLCite"/>
        </w:rPr>
        <w:t>The Bayesian Choice</w:t>
      </w:r>
      <w:r w:rsidRPr="00461878">
        <w:rPr>
          <w:rStyle w:val="HTMLCite"/>
          <w:i w:val="0"/>
        </w:rPr>
        <w:t>, 2</w:t>
      </w:r>
      <w:r w:rsidRPr="00461878">
        <w:rPr>
          <w:rStyle w:val="HTMLCite"/>
          <w:i w:val="0"/>
          <w:vertAlign w:val="superscript"/>
        </w:rPr>
        <w:t>nd</w:t>
      </w:r>
      <w:r w:rsidRPr="00461878">
        <w:rPr>
          <w:rStyle w:val="HTMLCite"/>
          <w:i w:val="0"/>
        </w:rPr>
        <w:t xml:space="preserve"> Ed.</w:t>
      </w:r>
      <w:r>
        <w:rPr>
          <w:rStyle w:val="HTMLCite"/>
          <w:i w:val="0"/>
        </w:rPr>
        <w:t xml:space="preserve">  New York:  Springer-Verlag. </w:t>
      </w:r>
    </w:p>
    <w:p w:rsidR="002B0AA3" w:rsidRPr="002115B7" w:rsidRDefault="002B0AA3" w:rsidP="00A44A98">
      <w:pPr>
        <w:spacing w:line="480" w:lineRule="auto"/>
        <w:ind w:left="684" w:hanging="684"/>
      </w:pPr>
      <w:r w:rsidRPr="00475E03">
        <w:rPr>
          <w:rStyle w:val="HTMLCite"/>
          <w:i w:val="0"/>
        </w:rPr>
        <w:t>Press, S.J</w:t>
      </w:r>
      <w:r w:rsidRPr="002115B7">
        <w:rPr>
          <w:rStyle w:val="HTMLCite"/>
        </w:rPr>
        <w:t xml:space="preserve">.  </w:t>
      </w:r>
      <w:r w:rsidRPr="00461878">
        <w:rPr>
          <w:rStyle w:val="HTMLCite"/>
          <w:i w:val="0"/>
        </w:rPr>
        <w:t>1989.</w:t>
      </w:r>
      <w:r w:rsidRPr="002115B7">
        <w:rPr>
          <w:rStyle w:val="HTMLCite"/>
        </w:rPr>
        <w:t xml:space="preserve">  Bayesian Statistics: Principles, Models, and Applications.</w:t>
      </w:r>
      <w:r w:rsidRPr="002115B7">
        <w:t xml:space="preserve">  New York:  John Wiley and Sons.</w:t>
      </w:r>
    </w:p>
    <w:p w:rsidR="002B0AA3" w:rsidRPr="002115B7" w:rsidRDefault="002B0AA3" w:rsidP="00A44A98">
      <w:pPr>
        <w:spacing w:line="480" w:lineRule="auto"/>
        <w:ind w:left="684" w:hanging="684"/>
      </w:pPr>
      <w:r w:rsidRPr="002115B7">
        <w:t xml:space="preserve">Schimmelpfennig, D. E. and G.W. Norton.  2003.  “What is the Value of Agricultural Economics Research?”  </w:t>
      </w:r>
      <w:r w:rsidRPr="002115B7">
        <w:rPr>
          <w:i/>
        </w:rPr>
        <w:t>American Journal of Agricultural Economics</w:t>
      </w:r>
      <w:r w:rsidRPr="002115B7">
        <w:t xml:space="preserve">. 85:  81 – 94. </w:t>
      </w:r>
    </w:p>
    <w:p w:rsidR="002B0AA3" w:rsidRPr="002115B7" w:rsidRDefault="002B0AA3" w:rsidP="00A44A98">
      <w:pPr>
        <w:spacing w:line="480" w:lineRule="auto"/>
        <w:ind w:left="684" w:hanging="684"/>
      </w:pPr>
      <w:r w:rsidRPr="002115B7">
        <w:t xml:space="preserve">Stael von Holstein, C.A.  1970.  </w:t>
      </w:r>
      <w:r w:rsidRPr="002115B7">
        <w:rPr>
          <w:i/>
        </w:rPr>
        <w:t xml:space="preserve">Assessment and Evaluation of Subjective Probability Distributions. </w:t>
      </w:r>
      <w:r w:rsidRPr="002115B7">
        <w:t xml:space="preserve"> The Economics Research Institute, Stockholm School of Economics</w:t>
      </w:r>
    </w:p>
    <w:p w:rsidR="002B0AA3" w:rsidRPr="002115B7" w:rsidRDefault="002B0AA3" w:rsidP="00A44A98">
      <w:pPr>
        <w:spacing w:line="480" w:lineRule="auto"/>
        <w:ind w:left="684" w:hanging="684"/>
      </w:pPr>
      <w:r w:rsidRPr="002115B7">
        <w:t>Smith, V. H.  1998.  “Measuring the Benefits of Social Science Research.”  Impact Assessment Discussion Paper No. 2, International Food Policy Research Institute.</w:t>
      </w:r>
    </w:p>
    <w:p w:rsidR="00377CC3" w:rsidRDefault="001E5A0C" w:rsidP="00A44A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pPr>
      <w:r>
        <w:lastRenderedPageBreak/>
        <w:t xml:space="preserve">Winkler, R.L.  </w:t>
      </w:r>
      <w:r w:rsidR="00461878">
        <w:t xml:space="preserve">1972.  </w:t>
      </w:r>
      <w:r w:rsidRPr="00206FAE">
        <w:rPr>
          <w:i/>
        </w:rPr>
        <w:t>An Introduction to Bayesian Inference and Decision</w:t>
      </w:r>
      <w:r>
        <w:t>.  New York:  Holt, Rinehart, Winston</w:t>
      </w:r>
      <w:r w:rsidR="00103DB6">
        <w:t>.</w:t>
      </w:r>
    </w:p>
    <w:p w:rsidR="0073297F" w:rsidRDefault="002B0AA3" w:rsidP="00A44A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pPr>
      <w:r w:rsidRPr="002115B7">
        <w:t>Xia, Y., and S.T. Buccola.  2005.  “University Life Science Programs an</w:t>
      </w:r>
      <w:r w:rsidR="00206FAE">
        <w:t xml:space="preserve">d Agricultural Biotechnology.” </w:t>
      </w:r>
      <w:r w:rsidR="00C32E36">
        <w:t xml:space="preserve"> </w:t>
      </w:r>
      <w:r w:rsidRPr="002115B7">
        <w:rPr>
          <w:i/>
          <w:iCs/>
        </w:rPr>
        <w:t>American Journal of Agricultural Economics</w:t>
      </w:r>
      <w:r w:rsidR="00C32E36">
        <w:t xml:space="preserve"> 87</w:t>
      </w:r>
      <w:r w:rsidR="00475E03">
        <w:t>:</w:t>
      </w:r>
      <w:r w:rsidR="00C32E36">
        <w:t xml:space="preserve"> 229</w:t>
      </w:r>
      <w:r w:rsidR="00A44A98">
        <w:t xml:space="preserve"> </w:t>
      </w:r>
      <w:r w:rsidR="00475E03">
        <w:t>–</w:t>
      </w:r>
      <w:r w:rsidR="00A44A98">
        <w:t xml:space="preserve"> </w:t>
      </w:r>
      <w:r w:rsidR="00475E03">
        <w:t>243.</w:t>
      </w:r>
    </w:p>
    <w:sectPr w:rsidR="0073297F" w:rsidSect="00206FAE">
      <w:pgSz w:w="12240" w:h="15840"/>
      <w:pgMar w:top="1584" w:right="1584" w:bottom="1440" w:left="187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F3A" w:rsidRDefault="00062F3A" w:rsidP="00F740AC">
      <w:pPr>
        <w:spacing w:line="240" w:lineRule="auto"/>
      </w:pPr>
      <w:r>
        <w:separator/>
      </w:r>
    </w:p>
  </w:endnote>
  <w:endnote w:type="continuationSeparator" w:id="0">
    <w:p w:rsidR="00062F3A" w:rsidRDefault="00062F3A" w:rsidP="00F74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B18030 Bitmap">
    <w:charset w:val="50"/>
    <w:family w:val="auto"/>
    <w:pitch w:val="variable"/>
    <w:sig w:usb0="00000001" w:usb1="00000000" w:usb2="0100040E"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95923"/>
      <w:docPartObj>
        <w:docPartGallery w:val="Page Numbers (Bottom of Page)"/>
        <w:docPartUnique/>
      </w:docPartObj>
    </w:sdtPr>
    <w:sdtEndPr/>
    <w:sdtContent>
      <w:p w:rsidR="009551E8" w:rsidRDefault="00062F3A">
        <w:pPr>
          <w:pStyle w:val="Footer"/>
          <w:jc w:val="right"/>
        </w:pPr>
        <w:r>
          <w:fldChar w:fldCharType="begin"/>
        </w:r>
        <w:r>
          <w:instrText xml:space="preserve"> PAGE   \* MERGEFORMAT </w:instrText>
        </w:r>
        <w:r>
          <w:fldChar w:fldCharType="separate"/>
        </w:r>
        <w:r w:rsidR="00937A91">
          <w:rPr>
            <w:noProof/>
          </w:rPr>
          <w:t>1</w:t>
        </w:r>
        <w:r>
          <w:rPr>
            <w:noProof/>
          </w:rPr>
          <w:fldChar w:fldCharType="end"/>
        </w:r>
      </w:p>
    </w:sdtContent>
  </w:sdt>
  <w:p w:rsidR="0036765C" w:rsidRDefault="00367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F3A" w:rsidRDefault="00062F3A" w:rsidP="00F740AC">
      <w:pPr>
        <w:spacing w:line="240" w:lineRule="auto"/>
      </w:pPr>
      <w:r>
        <w:separator/>
      </w:r>
    </w:p>
  </w:footnote>
  <w:footnote w:type="continuationSeparator" w:id="0">
    <w:p w:rsidR="00062F3A" w:rsidRDefault="00062F3A" w:rsidP="00F740A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00016"/>
    <w:multiLevelType w:val="hybridMultilevel"/>
    <w:tmpl w:val="AFEEE2D4"/>
    <w:lvl w:ilvl="0" w:tplc="50DA2C9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4DB14B3B"/>
    <w:multiLevelType w:val="hybridMultilevel"/>
    <w:tmpl w:val="823481B8"/>
    <w:lvl w:ilvl="0" w:tplc="DE76DA8A">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EF4"/>
    <w:rsid w:val="00016356"/>
    <w:rsid w:val="00020C9D"/>
    <w:rsid w:val="000250CF"/>
    <w:rsid w:val="00027866"/>
    <w:rsid w:val="00031C33"/>
    <w:rsid w:val="00031F6E"/>
    <w:rsid w:val="0003437E"/>
    <w:rsid w:val="00036A04"/>
    <w:rsid w:val="00037BE8"/>
    <w:rsid w:val="000504ED"/>
    <w:rsid w:val="00062F3A"/>
    <w:rsid w:val="0007498B"/>
    <w:rsid w:val="00077393"/>
    <w:rsid w:val="00083CAF"/>
    <w:rsid w:val="00084381"/>
    <w:rsid w:val="000857D0"/>
    <w:rsid w:val="00095098"/>
    <w:rsid w:val="000B0035"/>
    <w:rsid w:val="000B293C"/>
    <w:rsid w:val="000B5DA7"/>
    <w:rsid w:val="000B7C8A"/>
    <w:rsid w:val="000C088B"/>
    <w:rsid w:val="000C2225"/>
    <w:rsid w:val="000E1C6B"/>
    <w:rsid w:val="00103DB6"/>
    <w:rsid w:val="001060C1"/>
    <w:rsid w:val="00114046"/>
    <w:rsid w:val="00140C31"/>
    <w:rsid w:val="00147140"/>
    <w:rsid w:val="001471E9"/>
    <w:rsid w:val="001519B9"/>
    <w:rsid w:val="00155DE8"/>
    <w:rsid w:val="00165C1A"/>
    <w:rsid w:val="00192221"/>
    <w:rsid w:val="001952B8"/>
    <w:rsid w:val="001A3C68"/>
    <w:rsid w:val="001B796F"/>
    <w:rsid w:val="001D08C2"/>
    <w:rsid w:val="001D659F"/>
    <w:rsid w:val="001D73E9"/>
    <w:rsid w:val="001E0603"/>
    <w:rsid w:val="001E5A0C"/>
    <w:rsid w:val="00205090"/>
    <w:rsid w:val="00206FAE"/>
    <w:rsid w:val="00210242"/>
    <w:rsid w:val="00220ECB"/>
    <w:rsid w:val="0022562E"/>
    <w:rsid w:val="00230330"/>
    <w:rsid w:val="00230FFC"/>
    <w:rsid w:val="00235E5D"/>
    <w:rsid w:val="002570E0"/>
    <w:rsid w:val="00260E59"/>
    <w:rsid w:val="002658EE"/>
    <w:rsid w:val="002670E1"/>
    <w:rsid w:val="00281F3B"/>
    <w:rsid w:val="002A2030"/>
    <w:rsid w:val="002A533C"/>
    <w:rsid w:val="002B0AA3"/>
    <w:rsid w:val="002C110E"/>
    <w:rsid w:val="002C4C42"/>
    <w:rsid w:val="002C4E30"/>
    <w:rsid w:val="002D6309"/>
    <w:rsid w:val="00320DB8"/>
    <w:rsid w:val="00321D02"/>
    <w:rsid w:val="00331DBF"/>
    <w:rsid w:val="00350FB8"/>
    <w:rsid w:val="00353A39"/>
    <w:rsid w:val="003556B0"/>
    <w:rsid w:val="00362730"/>
    <w:rsid w:val="00362E3D"/>
    <w:rsid w:val="0036450C"/>
    <w:rsid w:val="00367004"/>
    <w:rsid w:val="0036765C"/>
    <w:rsid w:val="00372273"/>
    <w:rsid w:val="00372509"/>
    <w:rsid w:val="00376E15"/>
    <w:rsid w:val="00377CC3"/>
    <w:rsid w:val="00377F11"/>
    <w:rsid w:val="00397ECE"/>
    <w:rsid w:val="003A43D4"/>
    <w:rsid w:val="003B0544"/>
    <w:rsid w:val="003B14C7"/>
    <w:rsid w:val="003C41B6"/>
    <w:rsid w:val="003C4280"/>
    <w:rsid w:val="003D03FD"/>
    <w:rsid w:val="003D5F2D"/>
    <w:rsid w:val="003E1645"/>
    <w:rsid w:val="003E4B80"/>
    <w:rsid w:val="004017E6"/>
    <w:rsid w:val="00402C16"/>
    <w:rsid w:val="00410CE2"/>
    <w:rsid w:val="004162B5"/>
    <w:rsid w:val="004177D9"/>
    <w:rsid w:val="00426681"/>
    <w:rsid w:val="00436EDE"/>
    <w:rsid w:val="004454D1"/>
    <w:rsid w:val="00447903"/>
    <w:rsid w:val="00457C43"/>
    <w:rsid w:val="00461878"/>
    <w:rsid w:val="0046289B"/>
    <w:rsid w:val="00475E03"/>
    <w:rsid w:val="00475F46"/>
    <w:rsid w:val="0048191E"/>
    <w:rsid w:val="00483EDE"/>
    <w:rsid w:val="0049004B"/>
    <w:rsid w:val="004A067F"/>
    <w:rsid w:val="004A62D0"/>
    <w:rsid w:val="004A67BF"/>
    <w:rsid w:val="004C539D"/>
    <w:rsid w:val="004C6969"/>
    <w:rsid w:val="004D1481"/>
    <w:rsid w:val="004F0241"/>
    <w:rsid w:val="004F071A"/>
    <w:rsid w:val="0050378D"/>
    <w:rsid w:val="005050DB"/>
    <w:rsid w:val="00512628"/>
    <w:rsid w:val="0051548C"/>
    <w:rsid w:val="005164D4"/>
    <w:rsid w:val="00543CCE"/>
    <w:rsid w:val="00556204"/>
    <w:rsid w:val="00557344"/>
    <w:rsid w:val="005772FB"/>
    <w:rsid w:val="00586E5D"/>
    <w:rsid w:val="0059159B"/>
    <w:rsid w:val="005A2E2F"/>
    <w:rsid w:val="005B25B4"/>
    <w:rsid w:val="005B7FA0"/>
    <w:rsid w:val="005C4B01"/>
    <w:rsid w:val="005D1B8B"/>
    <w:rsid w:val="005D2ADF"/>
    <w:rsid w:val="005F0EF4"/>
    <w:rsid w:val="005F6EF5"/>
    <w:rsid w:val="00600081"/>
    <w:rsid w:val="00607F95"/>
    <w:rsid w:val="00610460"/>
    <w:rsid w:val="00626778"/>
    <w:rsid w:val="00630F9E"/>
    <w:rsid w:val="00660078"/>
    <w:rsid w:val="006720A9"/>
    <w:rsid w:val="00683F43"/>
    <w:rsid w:val="00686876"/>
    <w:rsid w:val="00692C9B"/>
    <w:rsid w:val="00693A4C"/>
    <w:rsid w:val="00694440"/>
    <w:rsid w:val="0069735E"/>
    <w:rsid w:val="006A6C74"/>
    <w:rsid w:val="006B24F4"/>
    <w:rsid w:val="006B4D8B"/>
    <w:rsid w:val="006C1988"/>
    <w:rsid w:val="006C5DF3"/>
    <w:rsid w:val="006E1A41"/>
    <w:rsid w:val="006E59E9"/>
    <w:rsid w:val="006E6C62"/>
    <w:rsid w:val="006F74A1"/>
    <w:rsid w:val="00717669"/>
    <w:rsid w:val="00722020"/>
    <w:rsid w:val="007241DF"/>
    <w:rsid w:val="00724E28"/>
    <w:rsid w:val="0072625C"/>
    <w:rsid w:val="0073297F"/>
    <w:rsid w:val="007336C9"/>
    <w:rsid w:val="007413A5"/>
    <w:rsid w:val="007439D8"/>
    <w:rsid w:val="00746F1F"/>
    <w:rsid w:val="0075282D"/>
    <w:rsid w:val="00765EBC"/>
    <w:rsid w:val="00766994"/>
    <w:rsid w:val="007669A5"/>
    <w:rsid w:val="00767492"/>
    <w:rsid w:val="0078632C"/>
    <w:rsid w:val="00791BA1"/>
    <w:rsid w:val="00795A56"/>
    <w:rsid w:val="007A067F"/>
    <w:rsid w:val="007A2B4F"/>
    <w:rsid w:val="007A5CBE"/>
    <w:rsid w:val="007B026A"/>
    <w:rsid w:val="007D1506"/>
    <w:rsid w:val="007D296F"/>
    <w:rsid w:val="007F06C4"/>
    <w:rsid w:val="007F1579"/>
    <w:rsid w:val="007F690E"/>
    <w:rsid w:val="007F7EB1"/>
    <w:rsid w:val="00801968"/>
    <w:rsid w:val="00802E7C"/>
    <w:rsid w:val="00803636"/>
    <w:rsid w:val="00804301"/>
    <w:rsid w:val="00806A17"/>
    <w:rsid w:val="008207EA"/>
    <w:rsid w:val="00822C66"/>
    <w:rsid w:val="00827FEE"/>
    <w:rsid w:val="00840201"/>
    <w:rsid w:val="0084157D"/>
    <w:rsid w:val="0085578E"/>
    <w:rsid w:val="00894FF1"/>
    <w:rsid w:val="00896131"/>
    <w:rsid w:val="008A6D9D"/>
    <w:rsid w:val="008B34C4"/>
    <w:rsid w:val="008C572A"/>
    <w:rsid w:val="008D7D02"/>
    <w:rsid w:val="008E7DCD"/>
    <w:rsid w:val="008F3739"/>
    <w:rsid w:val="00900511"/>
    <w:rsid w:val="00906177"/>
    <w:rsid w:val="00914CE0"/>
    <w:rsid w:val="00922CCE"/>
    <w:rsid w:val="00931223"/>
    <w:rsid w:val="00931E15"/>
    <w:rsid w:val="009324F0"/>
    <w:rsid w:val="00937A91"/>
    <w:rsid w:val="009406CB"/>
    <w:rsid w:val="009551E8"/>
    <w:rsid w:val="009618D2"/>
    <w:rsid w:val="00975BDC"/>
    <w:rsid w:val="00976033"/>
    <w:rsid w:val="00983338"/>
    <w:rsid w:val="00990042"/>
    <w:rsid w:val="009926D3"/>
    <w:rsid w:val="009B532C"/>
    <w:rsid w:val="009D73F9"/>
    <w:rsid w:val="009F2305"/>
    <w:rsid w:val="00A03C9A"/>
    <w:rsid w:val="00A0561F"/>
    <w:rsid w:val="00A2371D"/>
    <w:rsid w:val="00A2705E"/>
    <w:rsid w:val="00A44A98"/>
    <w:rsid w:val="00A455F3"/>
    <w:rsid w:val="00A45B84"/>
    <w:rsid w:val="00A52A79"/>
    <w:rsid w:val="00A655DB"/>
    <w:rsid w:val="00A65878"/>
    <w:rsid w:val="00A806C1"/>
    <w:rsid w:val="00A81E2A"/>
    <w:rsid w:val="00A92034"/>
    <w:rsid w:val="00A95EC5"/>
    <w:rsid w:val="00AA1D4E"/>
    <w:rsid w:val="00AB2F61"/>
    <w:rsid w:val="00AD5EEF"/>
    <w:rsid w:val="00AF074E"/>
    <w:rsid w:val="00AF4B35"/>
    <w:rsid w:val="00B00BE4"/>
    <w:rsid w:val="00B02780"/>
    <w:rsid w:val="00B224CC"/>
    <w:rsid w:val="00B328D8"/>
    <w:rsid w:val="00B42E7E"/>
    <w:rsid w:val="00B44D92"/>
    <w:rsid w:val="00B46378"/>
    <w:rsid w:val="00B500F6"/>
    <w:rsid w:val="00B519CE"/>
    <w:rsid w:val="00B522A0"/>
    <w:rsid w:val="00B563D2"/>
    <w:rsid w:val="00B722B3"/>
    <w:rsid w:val="00B7396A"/>
    <w:rsid w:val="00B7537B"/>
    <w:rsid w:val="00B7559B"/>
    <w:rsid w:val="00B87084"/>
    <w:rsid w:val="00B95140"/>
    <w:rsid w:val="00BA349A"/>
    <w:rsid w:val="00BB1F5A"/>
    <w:rsid w:val="00BC3637"/>
    <w:rsid w:val="00BC6BEE"/>
    <w:rsid w:val="00BD1F42"/>
    <w:rsid w:val="00BD58E3"/>
    <w:rsid w:val="00BD5F43"/>
    <w:rsid w:val="00BE0A14"/>
    <w:rsid w:val="00BF4D67"/>
    <w:rsid w:val="00C05121"/>
    <w:rsid w:val="00C126FB"/>
    <w:rsid w:val="00C2180D"/>
    <w:rsid w:val="00C25B40"/>
    <w:rsid w:val="00C32E36"/>
    <w:rsid w:val="00C52F31"/>
    <w:rsid w:val="00C709C2"/>
    <w:rsid w:val="00C734FC"/>
    <w:rsid w:val="00C74727"/>
    <w:rsid w:val="00C76B42"/>
    <w:rsid w:val="00C92BB7"/>
    <w:rsid w:val="00CA0B23"/>
    <w:rsid w:val="00CA6758"/>
    <w:rsid w:val="00CD3815"/>
    <w:rsid w:val="00CD70C1"/>
    <w:rsid w:val="00CF0970"/>
    <w:rsid w:val="00CF65E8"/>
    <w:rsid w:val="00D12B30"/>
    <w:rsid w:val="00D13C17"/>
    <w:rsid w:val="00D246C9"/>
    <w:rsid w:val="00D510A5"/>
    <w:rsid w:val="00D57504"/>
    <w:rsid w:val="00D60CB9"/>
    <w:rsid w:val="00D7559F"/>
    <w:rsid w:val="00D77BED"/>
    <w:rsid w:val="00D81DBB"/>
    <w:rsid w:val="00D9241D"/>
    <w:rsid w:val="00D940F2"/>
    <w:rsid w:val="00D97CB5"/>
    <w:rsid w:val="00DB2C76"/>
    <w:rsid w:val="00DC746F"/>
    <w:rsid w:val="00DD100B"/>
    <w:rsid w:val="00DF15DB"/>
    <w:rsid w:val="00DF1DC4"/>
    <w:rsid w:val="00DF428D"/>
    <w:rsid w:val="00E006E5"/>
    <w:rsid w:val="00E078BC"/>
    <w:rsid w:val="00E31497"/>
    <w:rsid w:val="00E33239"/>
    <w:rsid w:val="00E5101C"/>
    <w:rsid w:val="00E57038"/>
    <w:rsid w:val="00E70D91"/>
    <w:rsid w:val="00E809B5"/>
    <w:rsid w:val="00E87B99"/>
    <w:rsid w:val="00E9637A"/>
    <w:rsid w:val="00EA36F1"/>
    <w:rsid w:val="00EB31CE"/>
    <w:rsid w:val="00EC1D3C"/>
    <w:rsid w:val="00ED13B2"/>
    <w:rsid w:val="00EE7B9E"/>
    <w:rsid w:val="00EF0CD3"/>
    <w:rsid w:val="00EF614F"/>
    <w:rsid w:val="00EF7562"/>
    <w:rsid w:val="00F026F2"/>
    <w:rsid w:val="00F10A47"/>
    <w:rsid w:val="00F326A6"/>
    <w:rsid w:val="00F37792"/>
    <w:rsid w:val="00F44975"/>
    <w:rsid w:val="00F65B40"/>
    <w:rsid w:val="00F740AC"/>
    <w:rsid w:val="00F74C10"/>
    <w:rsid w:val="00F918AB"/>
    <w:rsid w:val="00F92FA3"/>
    <w:rsid w:val="00FC1F9B"/>
    <w:rsid w:val="00FC77F6"/>
    <w:rsid w:val="00FD1D49"/>
    <w:rsid w:val="00FE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rsid w:val="002B0AA3"/>
    <w:rPr>
      <w:rFonts w:cs="Times New Roman"/>
      <w:i/>
      <w:iCs/>
    </w:rPr>
  </w:style>
  <w:style w:type="character" w:styleId="Hyperlink">
    <w:name w:val="Hyperlink"/>
    <w:basedOn w:val="DefaultParagraphFont"/>
    <w:uiPriority w:val="99"/>
    <w:unhideWhenUsed/>
    <w:rsid w:val="00367004"/>
    <w:rPr>
      <w:color w:val="0000FF" w:themeColor="hyperlink"/>
      <w:u w:val="single"/>
    </w:rPr>
  </w:style>
  <w:style w:type="table" w:styleId="TableGrid">
    <w:name w:val="Table Grid"/>
    <w:basedOn w:val="TableNormal"/>
    <w:uiPriority w:val="59"/>
    <w:rsid w:val="0051548C"/>
    <w:pPr>
      <w:spacing w:line="240" w:lineRule="auto"/>
    </w:pPr>
    <w:rPr>
      <w:rFonts w:asciiTheme="minorHAnsi" w:eastAsia="SimSun" w:hAnsiTheme="minorHAnsi"/>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54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48C"/>
    <w:rPr>
      <w:rFonts w:ascii="Tahoma" w:hAnsi="Tahoma" w:cs="Tahoma"/>
      <w:sz w:val="16"/>
      <w:szCs w:val="16"/>
    </w:rPr>
  </w:style>
  <w:style w:type="paragraph" w:styleId="ListParagraph">
    <w:name w:val="List Paragraph"/>
    <w:basedOn w:val="Normal"/>
    <w:uiPriority w:val="34"/>
    <w:qFormat/>
    <w:rsid w:val="00724E28"/>
    <w:pPr>
      <w:ind w:left="720"/>
      <w:contextualSpacing/>
    </w:pPr>
  </w:style>
  <w:style w:type="paragraph" w:styleId="Header">
    <w:name w:val="header"/>
    <w:basedOn w:val="Normal"/>
    <w:link w:val="HeaderChar"/>
    <w:uiPriority w:val="99"/>
    <w:semiHidden/>
    <w:unhideWhenUsed/>
    <w:rsid w:val="00F740A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740AC"/>
  </w:style>
  <w:style w:type="paragraph" w:styleId="Footer">
    <w:name w:val="footer"/>
    <w:basedOn w:val="Normal"/>
    <w:link w:val="FooterChar"/>
    <w:uiPriority w:val="99"/>
    <w:unhideWhenUsed/>
    <w:rsid w:val="00F740AC"/>
    <w:pPr>
      <w:tabs>
        <w:tab w:val="center" w:pos="4680"/>
        <w:tab w:val="right" w:pos="9360"/>
      </w:tabs>
      <w:spacing w:line="240" w:lineRule="auto"/>
    </w:pPr>
  </w:style>
  <w:style w:type="character" w:customStyle="1" w:styleId="FooterChar">
    <w:name w:val="Footer Char"/>
    <w:basedOn w:val="DefaultParagraphFont"/>
    <w:link w:val="Footer"/>
    <w:uiPriority w:val="99"/>
    <w:rsid w:val="00F740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rsid w:val="002B0AA3"/>
    <w:rPr>
      <w:rFonts w:cs="Times New Roman"/>
      <w:i/>
      <w:iCs/>
    </w:rPr>
  </w:style>
  <w:style w:type="character" w:styleId="Hyperlink">
    <w:name w:val="Hyperlink"/>
    <w:basedOn w:val="DefaultParagraphFont"/>
    <w:uiPriority w:val="99"/>
    <w:unhideWhenUsed/>
    <w:rsid w:val="00367004"/>
    <w:rPr>
      <w:color w:val="0000FF" w:themeColor="hyperlink"/>
      <w:u w:val="single"/>
    </w:rPr>
  </w:style>
  <w:style w:type="table" w:styleId="TableGrid">
    <w:name w:val="Table Grid"/>
    <w:basedOn w:val="TableNormal"/>
    <w:uiPriority w:val="59"/>
    <w:rsid w:val="0051548C"/>
    <w:pPr>
      <w:spacing w:line="240" w:lineRule="auto"/>
    </w:pPr>
    <w:rPr>
      <w:rFonts w:asciiTheme="minorHAnsi" w:eastAsia="SimSun" w:hAnsiTheme="minorHAnsi"/>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54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48C"/>
    <w:rPr>
      <w:rFonts w:ascii="Tahoma" w:hAnsi="Tahoma" w:cs="Tahoma"/>
      <w:sz w:val="16"/>
      <w:szCs w:val="16"/>
    </w:rPr>
  </w:style>
  <w:style w:type="paragraph" w:styleId="ListParagraph">
    <w:name w:val="List Paragraph"/>
    <w:basedOn w:val="Normal"/>
    <w:uiPriority w:val="34"/>
    <w:qFormat/>
    <w:rsid w:val="00724E28"/>
    <w:pPr>
      <w:ind w:left="720"/>
      <w:contextualSpacing/>
    </w:pPr>
  </w:style>
  <w:style w:type="paragraph" w:styleId="Header">
    <w:name w:val="header"/>
    <w:basedOn w:val="Normal"/>
    <w:link w:val="HeaderChar"/>
    <w:uiPriority w:val="99"/>
    <w:semiHidden/>
    <w:unhideWhenUsed/>
    <w:rsid w:val="00F740A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740AC"/>
  </w:style>
  <w:style w:type="paragraph" w:styleId="Footer">
    <w:name w:val="footer"/>
    <w:basedOn w:val="Normal"/>
    <w:link w:val="FooterChar"/>
    <w:uiPriority w:val="99"/>
    <w:unhideWhenUsed/>
    <w:rsid w:val="00F740AC"/>
    <w:pPr>
      <w:tabs>
        <w:tab w:val="center" w:pos="4680"/>
        <w:tab w:val="right" w:pos="9360"/>
      </w:tabs>
      <w:spacing w:line="240" w:lineRule="auto"/>
    </w:pPr>
  </w:style>
  <w:style w:type="character" w:customStyle="1" w:styleId="FooterChar">
    <w:name w:val="Footer Char"/>
    <w:basedOn w:val="DefaultParagraphFont"/>
    <w:link w:val="Footer"/>
    <w:uiPriority w:val="99"/>
    <w:rsid w:val="00F74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58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19.wmf"/><Relationship Id="rId50" Type="http://schemas.openxmlformats.org/officeDocument/2006/relationships/oleObject" Target="embeddings/oleObject20.bin"/><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oleObject" Target="embeddings/oleObject29.bin"/><Relationship Id="rId76" Type="http://schemas.openxmlformats.org/officeDocument/2006/relationships/oleObject" Target="embeddings/oleObject34.bin"/><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1.wmf"/><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oleObject" Target="embeddings/oleObject36.bin"/><Relationship Id="rId5" Type="http://schemas.openxmlformats.org/officeDocument/2006/relationships/webSettings" Target="webSettings.xml"/><Relationship Id="rId61" Type="http://schemas.openxmlformats.org/officeDocument/2006/relationships/image" Target="media/image26.wmf"/><Relationship Id="rId82" Type="http://schemas.openxmlformats.org/officeDocument/2006/relationships/image" Target="media/image35.wmf"/><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0.wmf"/><Relationship Id="rId77" Type="http://schemas.openxmlformats.org/officeDocument/2006/relationships/oleObject" Target="embeddings/oleObject35.bin"/><Relationship Id="rId8" Type="http://schemas.openxmlformats.org/officeDocument/2006/relationships/hyperlink" Target="mailto:sbuccola@oregonstate.edu" TargetMode="External"/><Relationship Id="rId51" Type="http://schemas.openxmlformats.org/officeDocument/2006/relationships/image" Target="media/image21.wmf"/><Relationship Id="rId72" Type="http://schemas.openxmlformats.org/officeDocument/2006/relationships/oleObject" Target="embeddings/oleObject31.bin"/><Relationship Id="rId80" Type="http://schemas.openxmlformats.org/officeDocument/2006/relationships/image" Target="media/image34.wmf"/><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oleObject" Target="embeddings/oleObject33.bin"/><Relationship Id="rId83" Type="http://schemas.openxmlformats.org/officeDocument/2006/relationships/oleObject" Target="embeddings/oleObject38.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hyperlink" Target="http://www.aquafishcrsp.oregonstate.edu" TargetMode="Externa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image" Target="media/image33.wmf"/><Relationship Id="rId81" Type="http://schemas.openxmlformats.org/officeDocument/2006/relationships/oleObject" Target="embeddings/oleObject3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3752</Words>
  <Characters>21387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Buccola, Steve - AREC</dc:creator>
  <cp:lastModifiedBy>Kevin</cp:lastModifiedBy>
  <cp:revision>2</cp:revision>
  <cp:lastPrinted>2011-01-30T18:05:00Z</cp:lastPrinted>
  <dcterms:created xsi:type="dcterms:W3CDTF">2011-02-03T19:31:00Z</dcterms:created>
  <dcterms:modified xsi:type="dcterms:W3CDTF">2011-02-03T19:31:00Z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